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3" w:rsidRDefault="00022507" w:rsidP="00921611">
      <w:pPr>
        <w:pStyle w:val="Pavadinimas"/>
        <w:jc w:val="right"/>
      </w:pPr>
      <w:r>
        <w:t>Projektas</w:t>
      </w:r>
    </w:p>
    <w:p w:rsidR="000D7C71" w:rsidRDefault="000D7C71" w:rsidP="00F92EF3">
      <w:pPr>
        <w:jc w:val="center"/>
        <w:rPr>
          <w:b/>
          <w:bCs/>
        </w:rPr>
      </w:pPr>
    </w:p>
    <w:p w:rsidR="000D7C71" w:rsidRDefault="00BE42FF" w:rsidP="00F92EF3">
      <w:pPr>
        <w:jc w:val="center"/>
        <w:rPr>
          <w:b/>
          <w:bCs/>
        </w:rPr>
      </w:pPr>
      <w:r w:rsidRPr="00F16374">
        <w:rPr>
          <w:b/>
          <w:bCs/>
          <w:noProof/>
          <w:lang w:val="en-US" w:eastAsia="en-US"/>
        </w:rPr>
        <w:drawing>
          <wp:inline distT="0" distB="0" distL="0" distR="0">
            <wp:extent cx="457200" cy="533400"/>
            <wp:effectExtent l="0" t="0" r="0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71" w:rsidRPr="00F16374" w:rsidRDefault="000D7C71" w:rsidP="00F92EF3">
      <w:pPr>
        <w:jc w:val="center"/>
        <w:rPr>
          <w:b/>
          <w:bCs/>
        </w:rPr>
      </w:pPr>
    </w:p>
    <w:p w:rsidR="00A61893" w:rsidRPr="00F16374" w:rsidRDefault="00A61893" w:rsidP="00CF041C">
      <w:pPr>
        <w:jc w:val="center"/>
      </w:pPr>
      <w:r w:rsidRPr="00F16374">
        <w:rPr>
          <w:b/>
          <w:bCs/>
        </w:rPr>
        <w:t>KĖDAINIŲ RAJONO SAVIVALDYBĖS TARYBA</w:t>
      </w:r>
    </w:p>
    <w:p w:rsidR="00A61893" w:rsidRPr="00F16374" w:rsidRDefault="00A61893" w:rsidP="00CF041C">
      <w:pPr>
        <w:jc w:val="center"/>
      </w:pPr>
    </w:p>
    <w:p w:rsidR="00A61893" w:rsidRPr="00F16374" w:rsidRDefault="00A61893" w:rsidP="00CF041C">
      <w:pPr>
        <w:jc w:val="center"/>
      </w:pPr>
      <w:r w:rsidRPr="00F16374">
        <w:rPr>
          <w:b/>
          <w:bCs/>
        </w:rPr>
        <w:t>SPRENDIMAS</w:t>
      </w:r>
    </w:p>
    <w:p w:rsidR="00CF041C" w:rsidRPr="00F16374" w:rsidRDefault="00A61893" w:rsidP="000A2965">
      <w:pPr>
        <w:jc w:val="center"/>
        <w:rPr>
          <w:b/>
          <w:bCs/>
        </w:rPr>
      </w:pPr>
      <w:r w:rsidRPr="00F16374">
        <w:rPr>
          <w:b/>
          <w:bCs/>
        </w:rPr>
        <w:t xml:space="preserve">DĖL KĖDAINIŲ </w:t>
      </w:r>
      <w:r w:rsidR="00724DFD">
        <w:rPr>
          <w:b/>
          <w:bCs/>
        </w:rPr>
        <w:t>SUAUGUSIŲJŲ IR JAUNIMO MOKYMO CENTRO</w:t>
      </w:r>
    </w:p>
    <w:p w:rsidR="00A61893" w:rsidRPr="00F16374" w:rsidRDefault="00CF041C" w:rsidP="000A2965">
      <w:pPr>
        <w:jc w:val="center"/>
      </w:pPr>
      <w:r w:rsidRPr="00F16374">
        <w:rPr>
          <w:b/>
          <w:bCs/>
        </w:rPr>
        <w:t xml:space="preserve">TEIKIAMŲ PASLAUGŲ </w:t>
      </w:r>
      <w:r w:rsidR="00A61893" w:rsidRPr="00F16374">
        <w:rPr>
          <w:b/>
          <w:bCs/>
        </w:rPr>
        <w:t>KAINŲ NUSTATYMO</w:t>
      </w:r>
    </w:p>
    <w:p w:rsidR="00A61893" w:rsidRPr="00F16374" w:rsidRDefault="00A61893" w:rsidP="00CF041C">
      <w:pPr>
        <w:jc w:val="center"/>
      </w:pPr>
    </w:p>
    <w:p w:rsidR="00A61893" w:rsidRPr="00F16374" w:rsidRDefault="00A61893" w:rsidP="000877D1">
      <w:pPr>
        <w:tabs>
          <w:tab w:val="left" w:pos="1134"/>
        </w:tabs>
        <w:jc w:val="center"/>
      </w:pPr>
      <w:r w:rsidRPr="00F16374">
        <w:t>20</w:t>
      </w:r>
      <w:r w:rsidR="00E45543">
        <w:t>21</w:t>
      </w:r>
      <w:r w:rsidRPr="00F16374">
        <w:t xml:space="preserve"> m</w:t>
      </w:r>
      <w:r w:rsidR="00F92EF3" w:rsidRPr="00F16374">
        <w:t xml:space="preserve">. </w:t>
      </w:r>
      <w:r w:rsidR="00BE42FF">
        <w:t>rugsėjo 15</w:t>
      </w:r>
      <w:r w:rsidR="00022507">
        <w:t xml:space="preserve"> </w:t>
      </w:r>
      <w:r w:rsidR="00F92EF3" w:rsidRPr="00F16374">
        <w:t xml:space="preserve">d. Nr. </w:t>
      </w:r>
      <w:r w:rsidR="00022507">
        <w:t>SP</w:t>
      </w:r>
      <w:r w:rsidR="00DB073F">
        <w:t>-</w:t>
      </w:r>
      <w:r w:rsidR="00B9654C">
        <w:t>223</w:t>
      </w:r>
      <w:bookmarkStart w:id="0" w:name="_GoBack"/>
      <w:bookmarkEnd w:id="0"/>
    </w:p>
    <w:p w:rsidR="00A61893" w:rsidRPr="00F16374" w:rsidRDefault="00A61893" w:rsidP="00CF041C">
      <w:pPr>
        <w:jc w:val="center"/>
      </w:pPr>
      <w:r w:rsidRPr="00F16374">
        <w:t>Kėdainiai</w:t>
      </w:r>
    </w:p>
    <w:p w:rsidR="00A61893" w:rsidRPr="00F16374" w:rsidRDefault="00A61893" w:rsidP="00CF041C"/>
    <w:p w:rsidR="00A61893" w:rsidRDefault="00A61893" w:rsidP="007A3440">
      <w:pPr>
        <w:ind w:firstLine="709"/>
        <w:jc w:val="both"/>
      </w:pPr>
      <w:r w:rsidRPr="00F16374">
        <w:t xml:space="preserve">Vadovaudamasi Lietuvos Respublikos vietos savivaldos </w:t>
      </w:r>
      <w:r w:rsidRPr="00A4518C">
        <w:t>įstatymo 1</w:t>
      </w:r>
      <w:r w:rsidR="00BB674E" w:rsidRPr="00A4518C">
        <w:t>6 straipsnio 2 dalies 37 punktu,</w:t>
      </w:r>
      <w:r w:rsidR="00D74E45" w:rsidRPr="00A4518C">
        <w:t xml:space="preserve"> </w:t>
      </w:r>
      <w:r w:rsidR="00F92EF3" w:rsidRPr="00A4518C">
        <w:t>18 straipsnio 1 dalimi</w:t>
      </w:r>
      <w:r w:rsidR="00827F95">
        <w:t xml:space="preserve"> ir atsižvelgdama į Kėdainių suaugusiųjų ir jaunimo mokymo centro direktoriaus 2021 m. rugsėjo 6 d. raštą „Dėl teikiamų paslaugų kainų nustatymo“</w:t>
      </w:r>
      <w:r w:rsidR="001960C1">
        <w:t xml:space="preserve">, </w:t>
      </w:r>
      <w:r w:rsidRPr="00F16374">
        <w:t>Kėdainių rajono savivaldybė</w:t>
      </w:r>
      <w:r w:rsidR="00DD0E20">
        <w:t>s taryba n u s p r e n d ž i a:</w:t>
      </w:r>
    </w:p>
    <w:p w:rsidR="00746D68" w:rsidRPr="00F5241A" w:rsidRDefault="00746D68" w:rsidP="00C319B0">
      <w:pPr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 w:rsidRPr="00F5241A">
        <w:t xml:space="preserve">Nustatyti Kėdainių </w:t>
      </w:r>
      <w:r w:rsidR="00724DFD" w:rsidRPr="00F5241A">
        <w:t xml:space="preserve">suaugusiųjų ir jaunimo mokymo centro </w:t>
      </w:r>
      <w:r w:rsidRPr="00F5241A">
        <w:t>teikiamų paslaugų</w:t>
      </w:r>
      <w:r w:rsidR="00022507" w:rsidRPr="00F5241A">
        <w:t xml:space="preserve"> kainas</w:t>
      </w:r>
      <w:r w:rsidRPr="00F5241A">
        <w:t>:</w:t>
      </w:r>
    </w:p>
    <w:p w:rsidR="009A3A40" w:rsidRPr="00B322C1" w:rsidRDefault="00B322C1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Cs/>
        </w:rPr>
      </w:pPr>
      <w:r w:rsidRPr="00B322C1">
        <w:rPr>
          <w:bCs/>
        </w:rPr>
        <w:t xml:space="preserve">formaliojo tęstinio profesinio mokymo modulinės programos 1 mokymosi kreditas 1 asmeniui – 40,00 </w:t>
      </w:r>
      <w:proofErr w:type="spellStart"/>
      <w:r w:rsidRPr="00B322C1">
        <w:rPr>
          <w:bCs/>
        </w:rPr>
        <w:t>Eur</w:t>
      </w:r>
      <w:proofErr w:type="spellEnd"/>
      <w:r w:rsidRPr="00B322C1">
        <w:rPr>
          <w:bCs/>
        </w:rPr>
        <w:t>, išskyrus Užimtumo tarnybos nurodytą įkainį;</w:t>
      </w:r>
    </w:p>
    <w:p w:rsidR="00F5241A" w:rsidRPr="00F5241A" w:rsidRDefault="00F5241A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 w:rsidRPr="00F5241A">
        <w:rPr>
          <w:bCs/>
        </w:rPr>
        <w:t xml:space="preserve">neformaliojo profesinio mokymo programos 1 mokymosi kreditas </w:t>
      </w:r>
      <w:r w:rsidR="002F39DD">
        <w:rPr>
          <w:bCs/>
        </w:rPr>
        <w:t xml:space="preserve">1 asmeniui </w:t>
      </w:r>
      <w:r w:rsidRPr="00F5241A">
        <w:rPr>
          <w:bCs/>
        </w:rPr>
        <w:t xml:space="preserve">– </w:t>
      </w:r>
      <w:r w:rsidR="00EF7721">
        <w:rPr>
          <w:bCs/>
        </w:rPr>
        <w:t>3</w:t>
      </w:r>
      <w:r w:rsidRPr="00F5241A">
        <w:rPr>
          <w:bCs/>
        </w:rPr>
        <w:t xml:space="preserve">0,00 </w:t>
      </w:r>
      <w:proofErr w:type="spellStart"/>
      <w:r w:rsidRPr="00F5241A">
        <w:rPr>
          <w:bCs/>
        </w:rPr>
        <w:t>Eur</w:t>
      </w:r>
      <w:proofErr w:type="spellEnd"/>
      <w:r w:rsidRPr="00F5241A">
        <w:rPr>
          <w:bCs/>
        </w:rPr>
        <w:t>;</w:t>
      </w:r>
    </w:p>
    <w:p w:rsidR="00F5241A" w:rsidRPr="00F5241A" w:rsidRDefault="00EF7721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 w:rsidRPr="00EF7721">
        <w:rPr>
          <w:bCs/>
        </w:rPr>
        <w:t xml:space="preserve">profesinio mokymo įgytų kompetencijų vertinimas </w:t>
      </w:r>
      <w:r>
        <w:rPr>
          <w:bCs/>
        </w:rPr>
        <w:t xml:space="preserve">1 asmeniui </w:t>
      </w:r>
      <w:r w:rsidRPr="00EF7721">
        <w:rPr>
          <w:bCs/>
        </w:rPr>
        <w:t xml:space="preserve">– 150,00 </w:t>
      </w:r>
      <w:proofErr w:type="spellStart"/>
      <w:r w:rsidRPr="00EF7721">
        <w:rPr>
          <w:bCs/>
        </w:rPr>
        <w:t>Eur</w:t>
      </w:r>
      <w:proofErr w:type="spellEnd"/>
      <w:r w:rsidR="00F5241A" w:rsidRPr="00F5241A">
        <w:t>;</w:t>
      </w:r>
    </w:p>
    <w:p w:rsidR="00983D58" w:rsidRPr="0048612F" w:rsidRDefault="00714486" w:rsidP="00C319B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 w:rsidRPr="0048612F">
        <w:t xml:space="preserve">Neformaliojo vaikų švietimo skyriaus Vairavimo mokymo </w:t>
      </w:r>
      <w:r w:rsidR="00356179">
        <w:t xml:space="preserve">programa </w:t>
      </w:r>
      <w:r w:rsidRPr="0048612F">
        <w:t>1 asmeniui</w:t>
      </w:r>
      <w:r w:rsidR="00983D58" w:rsidRPr="0048612F">
        <w:t>:</w:t>
      </w:r>
    </w:p>
    <w:p w:rsidR="00C0440B" w:rsidRPr="00C319B0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48612F">
        <w:t>B kategorijos</w:t>
      </w:r>
      <w:r w:rsidRPr="00C319B0">
        <w:t xml:space="preserve"> vairuotojų mokymas (teorijos žinios ir praktinis vairavimas) – 300,00 </w:t>
      </w:r>
      <w:proofErr w:type="spellStart"/>
      <w:r w:rsidRPr="00C319B0">
        <w:t>Eur</w:t>
      </w:r>
      <w:proofErr w:type="spellEnd"/>
      <w:r w:rsidRPr="00C319B0">
        <w:t>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C319B0">
        <w:t>B kategorijos</w:t>
      </w:r>
      <w:r w:rsidRPr="00983D58">
        <w:t xml:space="preserve"> praktinio vairavimo mokymas – 300,00 </w:t>
      </w:r>
      <w:proofErr w:type="spellStart"/>
      <w:r w:rsidRPr="00983D58">
        <w:t>Eur</w:t>
      </w:r>
      <w:proofErr w:type="spellEnd"/>
      <w:r w:rsidRPr="00983D58">
        <w:t>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983D58">
        <w:t xml:space="preserve">papildomas praktinio vairavimo įgūdžių tobulinimas – 10,00 </w:t>
      </w:r>
      <w:proofErr w:type="spellStart"/>
      <w:r w:rsidRPr="00983D58">
        <w:t>Eur</w:t>
      </w:r>
      <w:proofErr w:type="spellEnd"/>
      <w:r w:rsidRPr="00983D58">
        <w:t>/val.;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983D58">
        <w:t xml:space="preserve">papildomas teorijos žinių tobulinimas – 1,00 </w:t>
      </w:r>
      <w:proofErr w:type="spellStart"/>
      <w:r w:rsidRPr="00983D58">
        <w:t>Eur</w:t>
      </w:r>
      <w:proofErr w:type="spellEnd"/>
      <w:r w:rsidRPr="00983D58">
        <w:t>/val.</w:t>
      </w:r>
      <w:r>
        <w:t>;</w:t>
      </w:r>
    </w:p>
    <w:p w:rsidR="009A3A40" w:rsidRDefault="009A3A40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>neformaliojo vaikų švietimo programa 1 asmeniui: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dizaino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rankdarbių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medžio darbų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sveikos gyvensenos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muzikinės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dailės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šokio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>kalbų mokymo</w:t>
      </w:r>
      <w:r w:rsidR="00356179">
        <w:t xml:space="preserve"> </w:t>
      </w:r>
      <w:r>
        <w:t xml:space="preserve">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kirpėjų mokymo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</w:pPr>
      <w:r>
        <w:t xml:space="preserve">jaunųjų medicinos slaugytojų mokymo – </w:t>
      </w:r>
      <w:r w:rsidR="00EF7721">
        <w:t>5</w:t>
      </w:r>
      <w:r>
        <w:t xml:space="preserve">,00 </w:t>
      </w:r>
      <w:proofErr w:type="spellStart"/>
      <w:r>
        <w:t>Eur</w:t>
      </w:r>
      <w:proofErr w:type="spellEnd"/>
      <w:r>
        <w:t>/mėn.;</w:t>
      </w:r>
    </w:p>
    <w:p w:rsidR="00EF7721" w:rsidRDefault="00EF7721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</w:pPr>
      <w:r>
        <w:t xml:space="preserve">gamtamokslinio mokymo –5,00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</w:pPr>
      <w:r>
        <w:t xml:space="preserve">informatikos </w:t>
      </w:r>
      <w:r w:rsidR="00356179">
        <w:t xml:space="preserve">ir matematikos </w:t>
      </w:r>
      <w:r>
        <w:t xml:space="preserve">mokymo – 6,00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</w:pPr>
      <w:proofErr w:type="spellStart"/>
      <w:r>
        <w:t>robotikos</w:t>
      </w:r>
      <w:proofErr w:type="spellEnd"/>
      <w:r>
        <w:t xml:space="preserve"> </w:t>
      </w:r>
      <w:r w:rsidR="00356179">
        <w:t xml:space="preserve">klubo </w:t>
      </w:r>
      <w:r>
        <w:t xml:space="preserve">– 12,00 </w:t>
      </w:r>
      <w:proofErr w:type="spellStart"/>
      <w:r>
        <w:t>Eur</w:t>
      </w:r>
      <w:proofErr w:type="spellEnd"/>
      <w:r>
        <w:t>/mėn.;</w:t>
      </w:r>
    </w:p>
    <w:p w:rsidR="009A3A40" w:rsidRDefault="009A3A40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>neformaliojo suaugusiųjų švietimo programa 1 asmeniui: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B80384">
        <w:t>fizinio aktyvumo</w:t>
      </w:r>
      <w:r w:rsidR="00356179">
        <w:t xml:space="preserve"> </w:t>
      </w:r>
      <w:r w:rsidRPr="00B80384">
        <w:t xml:space="preserve">– 20,00 </w:t>
      </w:r>
      <w:proofErr w:type="spellStart"/>
      <w:r w:rsidRPr="00B80384">
        <w:t>Eur</w:t>
      </w:r>
      <w:proofErr w:type="spellEnd"/>
      <w:r w:rsidRPr="00B80384"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B80384">
        <w:t>kalbų mokym</w:t>
      </w:r>
      <w:r w:rsidR="00356179">
        <w:t>o</w:t>
      </w:r>
      <w:r w:rsidRPr="00B80384">
        <w:t xml:space="preserve"> – 1</w:t>
      </w:r>
      <w:r w:rsidR="00F46E54">
        <w:t>5</w:t>
      </w:r>
      <w:r w:rsidRPr="00B80384">
        <w:t xml:space="preserve">,00 </w:t>
      </w:r>
      <w:proofErr w:type="spellStart"/>
      <w:r w:rsidRPr="00B80384">
        <w:t>Eur</w:t>
      </w:r>
      <w:proofErr w:type="spellEnd"/>
      <w:r w:rsidRPr="00B80384"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1843"/>
        </w:tabs>
        <w:ind w:left="0" w:firstLine="709"/>
        <w:jc w:val="both"/>
      </w:pPr>
      <w:r w:rsidRPr="00B80384">
        <w:t>sveikatos stiprinimo ir sveikos gyvensenos mokymo – 1</w:t>
      </w:r>
      <w:r w:rsidR="00EF7721">
        <w:t>5</w:t>
      </w:r>
      <w:r w:rsidRPr="00B80384">
        <w:t xml:space="preserve">,00 </w:t>
      </w:r>
      <w:proofErr w:type="spellStart"/>
      <w:r w:rsidRPr="00B80384">
        <w:t>Eur</w:t>
      </w:r>
      <w:proofErr w:type="spellEnd"/>
      <w:r w:rsidRPr="00B80384"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B80384">
        <w:t>IKT mokym</w:t>
      </w:r>
      <w:r w:rsidR="00356179">
        <w:t>o</w:t>
      </w:r>
      <w:r w:rsidRPr="00B80384">
        <w:t xml:space="preserve"> – 1</w:t>
      </w:r>
      <w:r w:rsidR="00EF7721">
        <w:t>5</w:t>
      </w:r>
      <w:r w:rsidRPr="00B80384">
        <w:t xml:space="preserve">,00 </w:t>
      </w:r>
      <w:proofErr w:type="spellStart"/>
      <w:r w:rsidRPr="00B80384">
        <w:t>Eur</w:t>
      </w:r>
      <w:proofErr w:type="spellEnd"/>
      <w:r w:rsidRPr="00B80384"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B80384">
        <w:t>meninės raiškos – 1</w:t>
      </w:r>
      <w:r w:rsidR="00EF7721">
        <w:t>5</w:t>
      </w:r>
      <w:r w:rsidRPr="00B80384">
        <w:t xml:space="preserve">,00 </w:t>
      </w:r>
      <w:proofErr w:type="spellStart"/>
      <w:r w:rsidRPr="00B80384">
        <w:t>Eur</w:t>
      </w:r>
      <w:proofErr w:type="spellEnd"/>
      <w:r w:rsidRPr="00B80384">
        <w:t>/mėn.;</w:t>
      </w:r>
    </w:p>
    <w:p w:rsidR="009A3A40" w:rsidRDefault="009A3A40" w:rsidP="009A3A40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>trumpalaikė neformaliojo suaugusiųjų švietimo programa</w:t>
      </w:r>
      <w:r w:rsidR="00356179">
        <w:t xml:space="preserve"> </w:t>
      </w:r>
      <w:r w:rsidRPr="00983D58">
        <w:t xml:space="preserve">– 3,00 </w:t>
      </w:r>
      <w:proofErr w:type="spellStart"/>
      <w:r w:rsidRPr="00983D58">
        <w:t>Eur</w:t>
      </w:r>
      <w:proofErr w:type="spellEnd"/>
      <w:r w:rsidRPr="00983D58">
        <w:t>/val.;</w:t>
      </w:r>
    </w:p>
    <w:p w:rsidR="009A3A40" w:rsidRDefault="009A3A40" w:rsidP="009A3A4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lastRenderedPageBreak/>
        <w:t xml:space="preserve">asmeniui, turinčiam vidurinį išsilavinimą, už mokytojų, pakartotinai jį mokančių pageidaujamų vidurinio ugdymo programos dalykų, darbą </w:t>
      </w:r>
      <w:r w:rsidRPr="0016048B">
        <w:t xml:space="preserve">– </w:t>
      </w:r>
      <w:r>
        <w:t xml:space="preserve">32,00 </w:t>
      </w:r>
      <w:proofErr w:type="spellStart"/>
      <w:r>
        <w:t>Eur</w:t>
      </w:r>
      <w:proofErr w:type="spellEnd"/>
      <w:r>
        <w:t>/val.;</w:t>
      </w:r>
    </w:p>
    <w:p w:rsidR="00983D58" w:rsidRDefault="00C0440B" w:rsidP="00C319B0">
      <w:pPr>
        <w:numPr>
          <w:ilvl w:val="1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>p</w:t>
      </w:r>
      <w:r w:rsidRPr="00983D58">
        <w:t>atalpų nuoma: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sporto salės </w:t>
      </w:r>
      <w:r w:rsidRPr="00F16374">
        <w:t xml:space="preserve">– </w:t>
      </w:r>
      <w:r w:rsidR="00356179">
        <w:t>1</w:t>
      </w:r>
      <w:r w:rsidR="00AC3C6D">
        <w:t>5</w:t>
      </w:r>
      <w:r>
        <w:t xml:space="preserve">,00 </w:t>
      </w:r>
      <w:proofErr w:type="spellStart"/>
      <w:r w:rsidRPr="00F16374">
        <w:t>Eur</w:t>
      </w:r>
      <w:proofErr w:type="spellEnd"/>
      <w:r>
        <w:t>/val.</w:t>
      </w:r>
      <w:r w:rsidRPr="00F16374">
        <w:t>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aktų salės – </w:t>
      </w:r>
      <w:r w:rsidR="00AC3C6D">
        <w:t>15</w:t>
      </w:r>
      <w:r w:rsidR="00356179">
        <w:t>,00</w:t>
      </w:r>
      <w:r>
        <w:t xml:space="preserve"> </w:t>
      </w:r>
      <w:proofErr w:type="spellStart"/>
      <w:r>
        <w:t>Eur</w:t>
      </w:r>
      <w:proofErr w:type="spellEnd"/>
      <w:r>
        <w:t>/val.;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kabineto – </w:t>
      </w:r>
      <w:r w:rsidR="00AC3C6D">
        <w:t>8</w:t>
      </w:r>
      <w:r>
        <w:t xml:space="preserve">,00 </w:t>
      </w:r>
      <w:proofErr w:type="spellStart"/>
      <w:r>
        <w:t>Eur</w:t>
      </w:r>
      <w:proofErr w:type="spellEnd"/>
      <w:r>
        <w:t>/val.;</w:t>
      </w:r>
    </w:p>
    <w:p w:rsidR="00C0440B" w:rsidRDefault="00C0440B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kompiuterių klasės – </w:t>
      </w:r>
      <w:r w:rsidR="00356179">
        <w:t>1</w:t>
      </w:r>
      <w:r w:rsidR="00AC3C6D">
        <w:t>5</w:t>
      </w:r>
      <w:r>
        <w:t xml:space="preserve">,00 </w:t>
      </w:r>
      <w:proofErr w:type="spellStart"/>
      <w:r>
        <w:t>Eur</w:t>
      </w:r>
      <w:proofErr w:type="spellEnd"/>
      <w:r>
        <w:t>/val.;</w:t>
      </w:r>
    </w:p>
    <w:p w:rsidR="00356179" w:rsidRDefault="00356179" w:rsidP="00C0440B">
      <w:pPr>
        <w:numPr>
          <w:ilvl w:val="2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>informacinio centro – 1</w:t>
      </w:r>
      <w:r w:rsidR="00AC3C6D">
        <w:t>5</w:t>
      </w:r>
      <w:r>
        <w:t xml:space="preserve">,00 </w:t>
      </w:r>
      <w:proofErr w:type="spellStart"/>
      <w:r>
        <w:t>Eur</w:t>
      </w:r>
      <w:proofErr w:type="spellEnd"/>
      <w:r>
        <w:t>/val.;</w:t>
      </w:r>
    </w:p>
    <w:p w:rsidR="00E030A7" w:rsidRDefault="00C319B0" w:rsidP="00E030A7">
      <w:pPr>
        <w:numPr>
          <w:ilvl w:val="1"/>
          <w:numId w:val="2"/>
        </w:numPr>
        <w:tabs>
          <w:tab w:val="left" w:pos="1134"/>
        </w:tabs>
        <w:ind w:hanging="691"/>
        <w:jc w:val="both"/>
      </w:pPr>
      <w:r>
        <w:t>mikroautobuso ,,</w:t>
      </w:r>
      <w:proofErr w:type="spellStart"/>
      <w:r>
        <w:t>Mersedes</w:t>
      </w:r>
      <w:proofErr w:type="spellEnd"/>
      <w:r>
        <w:t xml:space="preserve"> </w:t>
      </w:r>
      <w:proofErr w:type="spellStart"/>
      <w:r>
        <w:t>Benz</w:t>
      </w:r>
      <w:proofErr w:type="spellEnd"/>
      <w:r>
        <w:t>“ nuoma:</w:t>
      </w:r>
    </w:p>
    <w:p w:rsidR="00C319B0" w:rsidRDefault="00C319B0" w:rsidP="00C319B0">
      <w:pPr>
        <w:numPr>
          <w:ilvl w:val="2"/>
          <w:numId w:val="2"/>
        </w:numPr>
        <w:tabs>
          <w:tab w:val="left" w:pos="1134"/>
        </w:tabs>
        <w:ind w:left="0" w:firstLine="709"/>
        <w:jc w:val="both"/>
      </w:pPr>
      <w:r>
        <w:t xml:space="preserve">darbo dienomis – 0,60 </w:t>
      </w:r>
      <w:proofErr w:type="spellStart"/>
      <w:r>
        <w:t>Eur</w:t>
      </w:r>
      <w:proofErr w:type="spellEnd"/>
      <w:r>
        <w:t xml:space="preserve">/km ir 2,00 </w:t>
      </w:r>
      <w:proofErr w:type="spellStart"/>
      <w:r>
        <w:t>Eur</w:t>
      </w:r>
      <w:proofErr w:type="spellEnd"/>
      <w:r>
        <w:t>/val.;</w:t>
      </w:r>
    </w:p>
    <w:p w:rsidR="00C319B0" w:rsidRDefault="00C319B0" w:rsidP="00C319B0">
      <w:pPr>
        <w:numPr>
          <w:ilvl w:val="2"/>
          <w:numId w:val="2"/>
        </w:numPr>
        <w:tabs>
          <w:tab w:val="left" w:pos="1134"/>
        </w:tabs>
        <w:ind w:left="0" w:firstLine="709"/>
        <w:jc w:val="both"/>
      </w:pPr>
      <w:r>
        <w:t xml:space="preserve">poilsio ir švenčių dienomis – 0,60 </w:t>
      </w:r>
      <w:proofErr w:type="spellStart"/>
      <w:r>
        <w:t>Eur</w:t>
      </w:r>
      <w:proofErr w:type="spellEnd"/>
      <w:r>
        <w:t xml:space="preserve">/km ir 4,00 </w:t>
      </w:r>
      <w:proofErr w:type="spellStart"/>
      <w:r>
        <w:t>Eur</w:t>
      </w:r>
      <w:proofErr w:type="spellEnd"/>
      <w:r>
        <w:t>/val.</w:t>
      </w:r>
    </w:p>
    <w:p w:rsidR="00827F95" w:rsidRDefault="00827F95" w:rsidP="00C319B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16374">
        <w:t xml:space="preserve">Pavesti vykdyti sprendimą Kėdainių </w:t>
      </w:r>
      <w:r>
        <w:t xml:space="preserve">suaugusiųjų ir jaunimo mokymo </w:t>
      </w:r>
      <w:r w:rsidRPr="003A609C">
        <w:t>centro direktoriui.</w:t>
      </w:r>
    </w:p>
    <w:p w:rsidR="00255AC9" w:rsidRDefault="00C319B0" w:rsidP="00C319B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16374">
        <w:t>Pripažinti netekusi</w:t>
      </w:r>
      <w:r>
        <w:t>u</w:t>
      </w:r>
      <w:r w:rsidRPr="00F16374">
        <w:t xml:space="preserve"> galios Kėdainių rajono savivaldybės tarybos</w:t>
      </w:r>
      <w:r>
        <w:t xml:space="preserve"> 201</w:t>
      </w:r>
      <w:r w:rsidR="00B322C1">
        <w:t>9</w:t>
      </w:r>
      <w:r>
        <w:t xml:space="preserve"> m. </w:t>
      </w:r>
      <w:r w:rsidR="00B322C1">
        <w:t xml:space="preserve">rugsėjo 27 </w:t>
      </w:r>
      <w:r>
        <w:t>d. sprendimą Nr. TS-</w:t>
      </w:r>
      <w:r w:rsidR="00022507">
        <w:t>1</w:t>
      </w:r>
      <w:r w:rsidR="00B322C1">
        <w:t>76</w:t>
      </w:r>
      <w:r>
        <w:t xml:space="preserve"> ,,Dėl Kėdainių suaugusiųjų ir jaunimo mokymo centro teikiamų paslaugų kainų nustatymo“</w:t>
      </w:r>
      <w:r w:rsidR="00827F95">
        <w:t>.</w:t>
      </w:r>
    </w:p>
    <w:p w:rsidR="00672EF6" w:rsidRPr="00983D58" w:rsidRDefault="00672EF6" w:rsidP="00827F95">
      <w:pPr>
        <w:tabs>
          <w:tab w:val="left" w:pos="993"/>
        </w:tabs>
        <w:ind w:left="709"/>
        <w:jc w:val="both"/>
      </w:pPr>
    </w:p>
    <w:p w:rsidR="00746D68" w:rsidRDefault="00746D68" w:rsidP="00B322C1">
      <w:pPr>
        <w:tabs>
          <w:tab w:val="left" w:pos="993"/>
        </w:tabs>
        <w:ind w:left="709"/>
        <w:jc w:val="both"/>
      </w:pPr>
    </w:p>
    <w:p w:rsidR="00557141" w:rsidRDefault="00557141" w:rsidP="00557141">
      <w:pPr>
        <w:jc w:val="both"/>
      </w:pPr>
    </w:p>
    <w:p w:rsidR="00557141" w:rsidRDefault="00557141" w:rsidP="00557141">
      <w:pPr>
        <w:jc w:val="both"/>
      </w:pPr>
    </w:p>
    <w:p w:rsidR="0000562E" w:rsidRDefault="0000562E" w:rsidP="00557141">
      <w:pPr>
        <w:jc w:val="both"/>
      </w:pPr>
    </w:p>
    <w:p w:rsidR="0000562E" w:rsidRDefault="0000562E" w:rsidP="00557141">
      <w:pPr>
        <w:jc w:val="both"/>
      </w:pPr>
    </w:p>
    <w:p w:rsidR="0000562E" w:rsidRDefault="0000562E" w:rsidP="00557141">
      <w:pPr>
        <w:jc w:val="both"/>
      </w:pPr>
    </w:p>
    <w:p w:rsidR="00557141" w:rsidRDefault="00557141" w:rsidP="00557141">
      <w:pPr>
        <w:jc w:val="both"/>
      </w:pPr>
    </w:p>
    <w:p w:rsidR="00557141" w:rsidRDefault="00557141" w:rsidP="00557141">
      <w:pPr>
        <w:jc w:val="both"/>
      </w:pPr>
    </w:p>
    <w:p w:rsidR="00F92EF3" w:rsidRPr="00F16374" w:rsidRDefault="00F92EF3" w:rsidP="00557141">
      <w:pPr>
        <w:jc w:val="both"/>
      </w:pPr>
      <w:r w:rsidRPr="00F16374">
        <w:t>Savivaldybės meras</w:t>
      </w:r>
      <w:r w:rsidR="00DB073F">
        <w:tab/>
      </w:r>
      <w:r w:rsidR="00DB073F">
        <w:tab/>
      </w:r>
      <w:r w:rsidR="00DB073F">
        <w:tab/>
      </w:r>
    </w:p>
    <w:p w:rsidR="00F92EF3" w:rsidRPr="00F16374" w:rsidRDefault="00F92EF3" w:rsidP="00F92EF3">
      <w:pPr>
        <w:pStyle w:val="Pavadinimas"/>
        <w:jc w:val="left"/>
        <w:rPr>
          <w:b w:val="0"/>
          <w:bCs w:val="0"/>
        </w:rPr>
      </w:pPr>
    </w:p>
    <w:p w:rsidR="00B12DC9" w:rsidRDefault="00B12DC9" w:rsidP="00F92EF3">
      <w:pPr>
        <w:pStyle w:val="Pavadinimas"/>
        <w:jc w:val="left"/>
        <w:rPr>
          <w:b w:val="0"/>
          <w:bCs w:val="0"/>
        </w:rPr>
      </w:pPr>
    </w:p>
    <w:p w:rsidR="005E1DE9" w:rsidRDefault="005E1DE9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00562E" w:rsidRDefault="0000562E" w:rsidP="00F92EF3">
      <w:pPr>
        <w:pStyle w:val="Pavadinimas"/>
        <w:jc w:val="left"/>
        <w:rPr>
          <w:b w:val="0"/>
          <w:bCs w:val="0"/>
        </w:rPr>
      </w:pPr>
    </w:p>
    <w:p w:rsidR="005E1DE9" w:rsidRDefault="005E1DE9" w:rsidP="00F92EF3">
      <w:pPr>
        <w:pStyle w:val="Pavadinimas"/>
        <w:jc w:val="left"/>
        <w:rPr>
          <w:b w:val="0"/>
          <w:bCs w:val="0"/>
        </w:rPr>
      </w:pPr>
    </w:p>
    <w:p w:rsidR="002C2B04" w:rsidRDefault="002C2B04" w:rsidP="00F92EF3">
      <w:pPr>
        <w:pStyle w:val="Pavadinimas"/>
        <w:jc w:val="left"/>
        <w:rPr>
          <w:b w:val="0"/>
          <w:bCs w:val="0"/>
        </w:rPr>
      </w:pPr>
    </w:p>
    <w:p w:rsidR="002C2B04" w:rsidRDefault="002C2B04" w:rsidP="00F92EF3">
      <w:pPr>
        <w:pStyle w:val="Pavadinimas"/>
        <w:jc w:val="left"/>
        <w:rPr>
          <w:b w:val="0"/>
          <w:bCs w:val="0"/>
        </w:rPr>
      </w:pPr>
    </w:p>
    <w:p w:rsidR="00356179" w:rsidRDefault="00356179" w:rsidP="00356179">
      <w:pPr>
        <w:jc w:val="both"/>
      </w:pPr>
    </w:p>
    <w:p w:rsidR="00356179" w:rsidRPr="00060A74" w:rsidRDefault="00B322C1" w:rsidP="00356179">
      <w:pPr>
        <w:jc w:val="both"/>
      </w:pPr>
      <w:r>
        <w:t xml:space="preserve">Vilma </w:t>
      </w:r>
      <w:proofErr w:type="spellStart"/>
      <w:r>
        <w:t>Dobrovolskienė</w:t>
      </w:r>
      <w:proofErr w:type="spellEnd"/>
      <w:r w:rsidR="00356179" w:rsidRPr="00060A74">
        <w:t xml:space="preserve"> </w:t>
      </w:r>
      <w:r w:rsidR="00356179" w:rsidRPr="00060A74">
        <w:tab/>
      </w:r>
      <w:r w:rsidR="00356179" w:rsidRPr="00060A74">
        <w:tab/>
      </w:r>
      <w:r w:rsidR="00356179" w:rsidRPr="00060A74">
        <w:tab/>
      </w:r>
      <w:r w:rsidR="00356179">
        <w:t>Arūnas Kacevičius</w:t>
      </w:r>
    </w:p>
    <w:p w:rsidR="00356179" w:rsidRPr="00060A74" w:rsidRDefault="00356179" w:rsidP="00356179">
      <w:pPr>
        <w:jc w:val="both"/>
      </w:pPr>
      <w:r w:rsidRPr="00060A74">
        <w:t>20</w:t>
      </w:r>
      <w:r w:rsidR="00B322C1">
        <w:t>21</w:t>
      </w:r>
      <w:r w:rsidRPr="00060A74">
        <w:t>-</w:t>
      </w:r>
      <w:r>
        <w:t>09</w:t>
      </w:r>
      <w:r w:rsidRPr="00060A74">
        <w:t>-</w:t>
      </w:r>
      <w:r w:rsidRPr="00060A74">
        <w:tab/>
      </w:r>
      <w:r w:rsidRPr="00060A74">
        <w:tab/>
      </w:r>
      <w:r w:rsidRPr="00060A74">
        <w:tab/>
      </w:r>
      <w:r w:rsidRPr="00060A74">
        <w:tab/>
        <w:t>20</w:t>
      </w:r>
      <w:r w:rsidR="00B322C1">
        <w:t>21</w:t>
      </w:r>
      <w:r w:rsidRPr="00060A74">
        <w:t>-</w:t>
      </w:r>
      <w:r>
        <w:t>09</w:t>
      </w:r>
      <w:r w:rsidRPr="00060A74">
        <w:t>-</w:t>
      </w:r>
    </w:p>
    <w:p w:rsidR="00356179" w:rsidRPr="00060A74" w:rsidRDefault="00356179" w:rsidP="00356179">
      <w:pPr>
        <w:jc w:val="both"/>
      </w:pPr>
    </w:p>
    <w:p w:rsidR="00356179" w:rsidRPr="00060A74" w:rsidRDefault="00356179" w:rsidP="00356179">
      <w:pPr>
        <w:jc w:val="both"/>
      </w:pPr>
    </w:p>
    <w:p w:rsidR="00356179" w:rsidRPr="00060A74" w:rsidRDefault="00B322C1" w:rsidP="00356179">
      <w:pPr>
        <w:jc w:val="both"/>
      </w:pPr>
      <w:r>
        <w:t>Neringa Petrauskienė</w:t>
      </w:r>
      <w:r w:rsidR="00356179" w:rsidRPr="00060A74">
        <w:rPr>
          <w:lang w:val="pt-BR"/>
        </w:rPr>
        <w:tab/>
      </w:r>
      <w:r w:rsidR="00356179" w:rsidRPr="00060A74">
        <w:rPr>
          <w:lang w:val="pt-BR"/>
        </w:rPr>
        <w:tab/>
      </w:r>
      <w:r w:rsidR="00356179" w:rsidRPr="00060A74">
        <w:rPr>
          <w:lang w:val="pt-BR"/>
        </w:rPr>
        <w:tab/>
        <w:t>Rūta Švedienė</w:t>
      </w:r>
    </w:p>
    <w:p w:rsidR="00356179" w:rsidRDefault="00356179" w:rsidP="00356179">
      <w:pPr>
        <w:ind w:right="-1"/>
        <w:jc w:val="both"/>
        <w:rPr>
          <w:color w:val="00000A"/>
          <w:lang w:eastAsia="zh-CN"/>
        </w:rPr>
      </w:pPr>
      <w:r w:rsidRPr="00060A74">
        <w:t>20</w:t>
      </w:r>
      <w:r w:rsidR="00B322C1">
        <w:t>21</w:t>
      </w:r>
      <w:r w:rsidRPr="00060A74">
        <w:t>-</w:t>
      </w:r>
      <w:r>
        <w:t>09</w:t>
      </w:r>
      <w:r w:rsidRPr="00060A74">
        <w:t>-</w:t>
      </w:r>
      <w:r w:rsidRPr="00060A74">
        <w:rPr>
          <w:lang w:val="pt-BR"/>
        </w:rPr>
        <w:tab/>
      </w:r>
      <w:r w:rsidRPr="00060A74">
        <w:rPr>
          <w:lang w:val="pt-BR"/>
        </w:rPr>
        <w:tab/>
      </w:r>
      <w:r w:rsidRPr="00060A74">
        <w:rPr>
          <w:lang w:val="pt-BR"/>
        </w:rPr>
        <w:tab/>
      </w:r>
      <w:r w:rsidRPr="00060A74">
        <w:rPr>
          <w:lang w:val="pt-BR"/>
        </w:rPr>
        <w:tab/>
      </w:r>
      <w:r w:rsidRPr="00060A74">
        <w:t>20</w:t>
      </w:r>
      <w:r w:rsidR="00B322C1">
        <w:t>21</w:t>
      </w:r>
      <w:r w:rsidRPr="00060A74">
        <w:t>-</w:t>
      </w:r>
      <w:r>
        <w:t>09</w:t>
      </w:r>
      <w:r w:rsidRPr="00060A74">
        <w:t>-</w:t>
      </w:r>
    </w:p>
    <w:p w:rsidR="00356179" w:rsidRDefault="00356179" w:rsidP="00356179">
      <w:pPr>
        <w:ind w:right="-1" w:firstLine="720"/>
        <w:jc w:val="both"/>
        <w:rPr>
          <w:color w:val="00000A"/>
          <w:lang w:eastAsia="zh-CN"/>
        </w:rPr>
      </w:pPr>
    </w:p>
    <w:p w:rsidR="0000562E" w:rsidRPr="00B34218" w:rsidRDefault="0000562E" w:rsidP="0000562E">
      <w:pPr>
        <w:rPr>
          <w:sz w:val="22"/>
          <w:szCs w:val="22"/>
        </w:rPr>
      </w:pPr>
      <w:r w:rsidRPr="00B34218">
        <w:rPr>
          <w:sz w:val="22"/>
          <w:szCs w:val="22"/>
        </w:rPr>
        <w:t>Kėdainių rajono savivaldybės tarybai</w:t>
      </w:r>
    </w:p>
    <w:p w:rsidR="0000562E" w:rsidRPr="00B34218" w:rsidRDefault="0000562E" w:rsidP="0000562E">
      <w:pPr>
        <w:rPr>
          <w:sz w:val="22"/>
          <w:szCs w:val="22"/>
        </w:rPr>
      </w:pPr>
    </w:p>
    <w:p w:rsidR="0000562E" w:rsidRPr="00B34218" w:rsidRDefault="0000562E" w:rsidP="0000562E">
      <w:pPr>
        <w:jc w:val="center"/>
        <w:rPr>
          <w:b/>
          <w:sz w:val="22"/>
          <w:szCs w:val="22"/>
        </w:rPr>
      </w:pPr>
      <w:r w:rsidRPr="00B34218">
        <w:rPr>
          <w:b/>
          <w:sz w:val="22"/>
          <w:szCs w:val="22"/>
        </w:rPr>
        <w:t>AIŠKINAMASIS RAŠTAS</w:t>
      </w:r>
    </w:p>
    <w:p w:rsidR="0000562E" w:rsidRPr="00B34218" w:rsidRDefault="0000562E" w:rsidP="0000562E">
      <w:pPr>
        <w:jc w:val="center"/>
        <w:rPr>
          <w:b/>
          <w:bCs/>
          <w:sz w:val="22"/>
          <w:szCs w:val="22"/>
        </w:rPr>
      </w:pPr>
      <w:r w:rsidRPr="00B34218">
        <w:rPr>
          <w:b/>
          <w:bCs/>
          <w:sz w:val="22"/>
          <w:szCs w:val="22"/>
        </w:rPr>
        <w:t xml:space="preserve">DĖL KĖDAINIŲ SUAUGUSIŲJŲ IR JAUNIMO MOKYMO CENTRO </w:t>
      </w:r>
    </w:p>
    <w:p w:rsidR="0000562E" w:rsidRPr="00B34218" w:rsidRDefault="0000562E" w:rsidP="0000562E">
      <w:pPr>
        <w:jc w:val="center"/>
        <w:rPr>
          <w:sz w:val="22"/>
          <w:szCs w:val="22"/>
        </w:rPr>
      </w:pPr>
      <w:r w:rsidRPr="00B34218">
        <w:rPr>
          <w:b/>
          <w:bCs/>
          <w:sz w:val="22"/>
          <w:szCs w:val="22"/>
        </w:rPr>
        <w:t>TEIKIAMŲ PASLAUGŲ KAINŲ NUSTATYMO</w:t>
      </w:r>
    </w:p>
    <w:p w:rsidR="0000562E" w:rsidRPr="00B34218" w:rsidRDefault="0000562E" w:rsidP="0000562E">
      <w:pPr>
        <w:jc w:val="center"/>
        <w:rPr>
          <w:sz w:val="22"/>
          <w:szCs w:val="22"/>
        </w:rPr>
      </w:pPr>
    </w:p>
    <w:p w:rsidR="0000562E" w:rsidRPr="00B34218" w:rsidRDefault="0000562E" w:rsidP="0000562E">
      <w:pPr>
        <w:jc w:val="center"/>
        <w:rPr>
          <w:sz w:val="22"/>
          <w:szCs w:val="22"/>
        </w:rPr>
      </w:pPr>
      <w:r w:rsidRPr="00B34218">
        <w:rPr>
          <w:sz w:val="22"/>
          <w:szCs w:val="22"/>
        </w:rPr>
        <w:t>20</w:t>
      </w:r>
      <w:r w:rsidR="00B322C1">
        <w:rPr>
          <w:sz w:val="22"/>
          <w:szCs w:val="22"/>
        </w:rPr>
        <w:t>21</w:t>
      </w:r>
      <w:r w:rsidRPr="00B34218">
        <w:rPr>
          <w:sz w:val="22"/>
          <w:szCs w:val="22"/>
        </w:rPr>
        <w:t>-09-</w:t>
      </w:r>
    </w:p>
    <w:p w:rsidR="0000562E" w:rsidRPr="00B34218" w:rsidRDefault="0000562E" w:rsidP="0000562E">
      <w:pPr>
        <w:jc w:val="center"/>
        <w:rPr>
          <w:sz w:val="22"/>
          <w:szCs w:val="22"/>
        </w:rPr>
      </w:pPr>
      <w:r w:rsidRPr="00B34218">
        <w:rPr>
          <w:sz w:val="22"/>
          <w:szCs w:val="22"/>
        </w:rPr>
        <w:t>Kėdainiai</w:t>
      </w:r>
    </w:p>
    <w:p w:rsidR="0000562E" w:rsidRPr="00B34218" w:rsidRDefault="0000562E" w:rsidP="0000562E">
      <w:pPr>
        <w:ind w:firstLine="709"/>
        <w:jc w:val="both"/>
        <w:rPr>
          <w:sz w:val="22"/>
          <w:szCs w:val="22"/>
        </w:rPr>
      </w:pPr>
    </w:p>
    <w:p w:rsidR="0000562E" w:rsidRPr="00B34218" w:rsidRDefault="0000562E" w:rsidP="0000562E">
      <w:pPr>
        <w:ind w:firstLine="709"/>
        <w:jc w:val="both"/>
        <w:rPr>
          <w:b/>
          <w:sz w:val="22"/>
          <w:szCs w:val="22"/>
        </w:rPr>
      </w:pPr>
      <w:r w:rsidRPr="00B34218">
        <w:rPr>
          <w:b/>
          <w:sz w:val="22"/>
          <w:szCs w:val="22"/>
        </w:rPr>
        <w:t>Parengto sprendimo projekto tikslai</w:t>
      </w:r>
    </w:p>
    <w:p w:rsidR="0000562E" w:rsidRPr="00B34218" w:rsidRDefault="0000562E" w:rsidP="0000562E">
      <w:pPr>
        <w:ind w:firstLine="709"/>
        <w:jc w:val="both"/>
        <w:rPr>
          <w:b/>
          <w:sz w:val="22"/>
          <w:szCs w:val="22"/>
        </w:rPr>
      </w:pPr>
      <w:r w:rsidRPr="00B34218">
        <w:rPr>
          <w:sz w:val="22"/>
          <w:szCs w:val="22"/>
        </w:rPr>
        <w:t>Nustatyti, pakeisti ir papildyti Kėdainių suaugusiųjų ir jaunimo mokymo centro teikiamų paslaugų kainas.</w:t>
      </w:r>
    </w:p>
    <w:p w:rsidR="0000562E" w:rsidRPr="00B34218" w:rsidRDefault="0000562E" w:rsidP="0000562E">
      <w:pPr>
        <w:ind w:firstLine="709"/>
        <w:jc w:val="both"/>
        <w:rPr>
          <w:b/>
          <w:sz w:val="22"/>
          <w:szCs w:val="22"/>
        </w:rPr>
      </w:pPr>
    </w:p>
    <w:p w:rsidR="0000562E" w:rsidRPr="00B34218" w:rsidRDefault="0000562E" w:rsidP="0000562E">
      <w:pPr>
        <w:ind w:firstLine="709"/>
        <w:jc w:val="both"/>
        <w:rPr>
          <w:b/>
          <w:sz w:val="22"/>
          <w:szCs w:val="22"/>
        </w:rPr>
      </w:pPr>
      <w:r w:rsidRPr="00B34218">
        <w:rPr>
          <w:b/>
          <w:sz w:val="22"/>
          <w:szCs w:val="22"/>
        </w:rPr>
        <w:t>Sprendimo projekto esmė</w:t>
      </w:r>
      <w:r w:rsidRPr="00B34218">
        <w:rPr>
          <w:sz w:val="22"/>
          <w:szCs w:val="22"/>
        </w:rPr>
        <w:t xml:space="preserve">, </w:t>
      </w:r>
      <w:r w:rsidRPr="00B34218">
        <w:rPr>
          <w:b/>
          <w:sz w:val="22"/>
          <w:szCs w:val="22"/>
        </w:rPr>
        <w:t>rengimo priežastys ir motyvai</w:t>
      </w:r>
    </w:p>
    <w:p w:rsidR="00144D49" w:rsidRDefault="0000562E" w:rsidP="0000562E">
      <w:pPr>
        <w:ind w:firstLine="709"/>
        <w:jc w:val="both"/>
        <w:rPr>
          <w:sz w:val="22"/>
          <w:szCs w:val="22"/>
        </w:rPr>
      </w:pPr>
      <w:r w:rsidRPr="00B34218">
        <w:rPr>
          <w:sz w:val="22"/>
          <w:szCs w:val="22"/>
        </w:rPr>
        <w:t xml:space="preserve">Nustatytos paslaugų kainos. Kėdainių suaugusiųjų ir jaunimo mokymo centras gali vykdyti ir tęstinio profesinio mokymo programas. </w:t>
      </w:r>
    </w:p>
    <w:p w:rsidR="001578BE" w:rsidRDefault="001578BE" w:rsidP="0000562E">
      <w:pPr>
        <w:ind w:firstLine="709"/>
        <w:jc w:val="both"/>
      </w:pPr>
      <w:r>
        <w:rPr>
          <w:sz w:val="22"/>
          <w:szCs w:val="22"/>
        </w:rPr>
        <w:t xml:space="preserve">Naujas papunktis: 1.3. </w:t>
      </w:r>
      <w:r w:rsidRPr="00EF7721">
        <w:rPr>
          <w:bCs/>
        </w:rPr>
        <w:t xml:space="preserve">profesinio mokymo įgytų kompetencijų vertinimas </w:t>
      </w:r>
      <w:r>
        <w:rPr>
          <w:bCs/>
        </w:rPr>
        <w:t xml:space="preserve">1 asmeniui </w:t>
      </w:r>
      <w:r w:rsidRPr="00EF7721">
        <w:rPr>
          <w:bCs/>
        </w:rPr>
        <w:t xml:space="preserve">– 150,00 </w:t>
      </w:r>
      <w:proofErr w:type="spellStart"/>
      <w:r w:rsidRPr="00EF7721">
        <w:rPr>
          <w:bCs/>
        </w:rPr>
        <w:t>Eur</w:t>
      </w:r>
      <w:proofErr w:type="spellEnd"/>
      <w:r>
        <w:t>.</w:t>
      </w:r>
    </w:p>
    <w:p w:rsidR="001578BE" w:rsidRPr="002C2B04" w:rsidRDefault="001578BE" w:rsidP="0000562E">
      <w:pPr>
        <w:ind w:firstLine="709"/>
        <w:jc w:val="both"/>
        <w:rPr>
          <w:sz w:val="22"/>
          <w:szCs w:val="22"/>
        </w:rPr>
      </w:pPr>
      <w:r w:rsidRPr="002C2B04">
        <w:rPr>
          <w:sz w:val="22"/>
          <w:szCs w:val="22"/>
        </w:rPr>
        <w:t>Kaip keistųsi įkainiai: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5881"/>
        <w:gridCol w:w="1263"/>
        <w:gridCol w:w="1218"/>
      </w:tblGrid>
      <w:tr w:rsidR="001578BE" w:rsidRPr="002C2B04" w:rsidTr="002C2B04">
        <w:tc>
          <w:tcPr>
            <w:tcW w:w="1158" w:type="dxa"/>
            <w:shd w:val="clear" w:color="auto" w:fill="auto"/>
            <w:vAlign w:val="center"/>
          </w:tcPr>
          <w:p w:rsidR="001578BE" w:rsidRPr="002C2B04" w:rsidRDefault="001578BE" w:rsidP="002C2B04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04">
              <w:rPr>
                <w:b/>
                <w:bCs/>
                <w:sz w:val="22"/>
                <w:szCs w:val="22"/>
              </w:rPr>
              <w:t>SP papunktis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1578BE" w:rsidRPr="002C2B04" w:rsidRDefault="001578BE" w:rsidP="002C2B04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04">
              <w:rPr>
                <w:b/>
                <w:bCs/>
                <w:sz w:val="22"/>
                <w:szCs w:val="22"/>
              </w:rPr>
              <w:t>Paslauga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78BE" w:rsidRPr="002C2B04" w:rsidRDefault="001578BE" w:rsidP="002C2B04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04">
              <w:rPr>
                <w:b/>
                <w:bCs/>
                <w:sz w:val="22"/>
                <w:szCs w:val="22"/>
              </w:rPr>
              <w:t xml:space="preserve">Siūloma </w:t>
            </w:r>
            <w:proofErr w:type="spellStart"/>
            <w:r w:rsidRPr="002C2B04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1578BE" w:rsidRPr="002C2B04" w:rsidRDefault="001578BE" w:rsidP="002C2B04">
            <w:pPr>
              <w:jc w:val="center"/>
              <w:rPr>
                <w:b/>
                <w:bCs/>
                <w:sz w:val="22"/>
                <w:szCs w:val="22"/>
              </w:rPr>
            </w:pPr>
            <w:r w:rsidRPr="002C2B04">
              <w:rPr>
                <w:b/>
                <w:bCs/>
                <w:sz w:val="22"/>
                <w:szCs w:val="22"/>
              </w:rPr>
              <w:t xml:space="preserve">Buvo </w:t>
            </w:r>
            <w:proofErr w:type="spellStart"/>
            <w:r w:rsidRPr="002C2B04">
              <w:rPr>
                <w:b/>
                <w:bCs/>
                <w:sz w:val="22"/>
                <w:szCs w:val="22"/>
              </w:rPr>
              <w:t>Eur</w:t>
            </w:r>
            <w:proofErr w:type="spellEnd"/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1.2.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bCs/>
                <w:sz w:val="22"/>
                <w:szCs w:val="22"/>
              </w:rPr>
              <w:t>neformaliojo profesinio mokymo programos 1 mokymosi kreditas 1 asmeniui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30,00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40,00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1.5.1.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tabs>
                <w:tab w:val="left" w:pos="709"/>
                <w:tab w:val="left" w:pos="993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 xml:space="preserve">dizaino – 5,00 </w:t>
            </w:r>
            <w:proofErr w:type="spellStart"/>
            <w:r w:rsidRPr="002C2B04">
              <w:rPr>
                <w:sz w:val="22"/>
                <w:szCs w:val="22"/>
              </w:rPr>
              <w:t>Eur</w:t>
            </w:r>
            <w:proofErr w:type="spellEnd"/>
            <w:r w:rsidRPr="002C2B04">
              <w:rPr>
                <w:sz w:val="22"/>
                <w:szCs w:val="22"/>
              </w:rPr>
              <w:t>/mėn.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1.5.2.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rankdarbių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1.5.3.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medžio darbų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1.5.4.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sveikos gyvensenos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1.5.5.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muzikinės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1.5.6.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dailės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1.5.7.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1578BE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šokio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1578BE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1.5.8.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kalbų mokymo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1.5.9.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kirpėjų mokymo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1.5.10.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jaunųjų medicinos slaugytojų mokymo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1.5.11.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gamtamokslinio mokymo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3,00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1.6.3.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C70239" w:rsidP="002C2B04">
            <w:pPr>
              <w:tabs>
                <w:tab w:val="left" w:pos="709"/>
                <w:tab w:val="left" w:pos="993"/>
                <w:tab w:val="left" w:pos="1276"/>
                <w:tab w:val="left" w:pos="1843"/>
              </w:tabs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sveikatos stiprinimo ir sveikos gyvensenos mokymo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10,00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1.6.4.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IKT mokymo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10,00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1.6.5.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meninės raiškos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10,00</w:t>
            </w:r>
          </w:p>
        </w:tc>
      </w:tr>
      <w:tr w:rsidR="001578BE" w:rsidRPr="002C2B04" w:rsidTr="002C2B04">
        <w:tc>
          <w:tcPr>
            <w:tcW w:w="1158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6.1.</w:t>
            </w:r>
          </w:p>
        </w:tc>
        <w:tc>
          <w:tcPr>
            <w:tcW w:w="6072" w:type="dxa"/>
            <w:shd w:val="clear" w:color="auto" w:fill="auto"/>
          </w:tcPr>
          <w:p w:rsidR="001578BE" w:rsidRPr="002C2B04" w:rsidRDefault="00C70239" w:rsidP="002C2B04">
            <w:pPr>
              <w:tabs>
                <w:tab w:val="left" w:pos="709"/>
                <w:tab w:val="left" w:pos="993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sporto salės</w:t>
            </w:r>
          </w:p>
        </w:tc>
        <w:tc>
          <w:tcPr>
            <w:tcW w:w="1275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1578BE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12,00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6.2.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aktų salės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6.3.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kabineto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8,00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6.4.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kompiuterių klasės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10,00</w:t>
            </w:r>
          </w:p>
        </w:tc>
      </w:tr>
      <w:tr w:rsidR="00C70239" w:rsidRPr="002C2B04" w:rsidTr="002C2B04">
        <w:tc>
          <w:tcPr>
            <w:tcW w:w="1158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6.5.</w:t>
            </w:r>
          </w:p>
        </w:tc>
        <w:tc>
          <w:tcPr>
            <w:tcW w:w="6072" w:type="dxa"/>
            <w:shd w:val="clear" w:color="auto" w:fill="auto"/>
          </w:tcPr>
          <w:p w:rsidR="00C70239" w:rsidRPr="002C2B04" w:rsidRDefault="00C70239" w:rsidP="002C2B04">
            <w:pPr>
              <w:jc w:val="both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informacinio centro</w:t>
            </w:r>
          </w:p>
        </w:tc>
        <w:tc>
          <w:tcPr>
            <w:tcW w:w="1275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15,00</w:t>
            </w:r>
          </w:p>
        </w:tc>
        <w:tc>
          <w:tcPr>
            <w:tcW w:w="1241" w:type="dxa"/>
            <w:shd w:val="clear" w:color="auto" w:fill="auto"/>
          </w:tcPr>
          <w:p w:rsidR="00C70239" w:rsidRPr="002C2B04" w:rsidRDefault="00C70239" w:rsidP="002C2B04">
            <w:pPr>
              <w:jc w:val="center"/>
              <w:rPr>
                <w:sz w:val="22"/>
                <w:szCs w:val="22"/>
              </w:rPr>
            </w:pPr>
            <w:r w:rsidRPr="002C2B04">
              <w:rPr>
                <w:sz w:val="22"/>
                <w:szCs w:val="22"/>
              </w:rPr>
              <w:t>10,00</w:t>
            </w:r>
          </w:p>
        </w:tc>
      </w:tr>
    </w:tbl>
    <w:p w:rsidR="00144D49" w:rsidRPr="002C2B04" w:rsidRDefault="00144D49" w:rsidP="0000562E">
      <w:pPr>
        <w:ind w:firstLine="709"/>
        <w:jc w:val="both"/>
        <w:rPr>
          <w:sz w:val="22"/>
          <w:szCs w:val="22"/>
        </w:rPr>
      </w:pPr>
    </w:p>
    <w:p w:rsidR="002C2B04" w:rsidRPr="00827F95" w:rsidRDefault="002C2B04" w:rsidP="00827F95">
      <w:pPr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827F95">
        <w:rPr>
          <w:rFonts w:eastAsia="Calibri"/>
          <w:sz w:val="22"/>
          <w:szCs w:val="22"/>
          <w:lang w:val="en-US"/>
        </w:rPr>
        <w:t>Nustatomos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naujos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neformaliojo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švietimo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veiklų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ir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patalpų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nuomos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kainos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827F95">
        <w:rPr>
          <w:rFonts w:eastAsia="Calibri"/>
          <w:sz w:val="22"/>
          <w:szCs w:val="22"/>
          <w:lang w:val="en-US"/>
        </w:rPr>
        <w:t>dėl</w:t>
      </w:r>
      <w:proofErr w:type="spellEnd"/>
      <w:proofErr w:type="gram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bendrų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sąnaudų</w:t>
      </w:r>
      <w:proofErr w:type="spellEnd"/>
      <w:r w:rsidRPr="00827F95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827F95">
        <w:rPr>
          <w:rFonts w:eastAsia="Calibri"/>
          <w:sz w:val="22"/>
          <w:szCs w:val="22"/>
          <w:lang w:val="en-US"/>
        </w:rPr>
        <w:t>padidėjimo</w:t>
      </w:r>
      <w:proofErr w:type="spellEnd"/>
      <w:r w:rsidRPr="00827F95">
        <w:rPr>
          <w:rFonts w:eastAsia="Calibri"/>
          <w:sz w:val="22"/>
          <w:szCs w:val="22"/>
          <w:lang w:val="en-US"/>
        </w:rPr>
        <w:t>:</w:t>
      </w:r>
    </w:p>
    <w:p w:rsidR="002C2B04" w:rsidRPr="00827F95" w:rsidRDefault="002C2B04" w:rsidP="00827F95">
      <w:pPr>
        <w:tabs>
          <w:tab w:val="left" w:pos="142"/>
        </w:tabs>
        <w:jc w:val="both"/>
        <w:rPr>
          <w:sz w:val="22"/>
          <w:szCs w:val="22"/>
        </w:rPr>
      </w:pPr>
      <w:r w:rsidRPr="00827F95">
        <w:rPr>
          <w:sz w:val="22"/>
          <w:szCs w:val="22"/>
        </w:rPr>
        <w:t>1. Mokymo priemonių atnaujinimo išlaidos.</w:t>
      </w:r>
    </w:p>
    <w:p w:rsidR="002C2B04" w:rsidRPr="00827F95" w:rsidRDefault="002C2B04" w:rsidP="00827F95">
      <w:pPr>
        <w:tabs>
          <w:tab w:val="left" w:pos="142"/>
        </w:tabs>
        <w:jc w:val="both"/>
        <w:rPr>
          <w:rFonts w:eastAsia="Calibri"/>
          <w:sz w:val="22"/>
          <w:szCs w:val="22"/>
          <w:lang w:val="en-US"/>
        </w:rPr>
      </w:pPr>
      <w:r w:rsidRPr="00827F95">
        <w:rPr>
          <w:sz w:val="22"/>
          <w:szCs w:val="22"/>
        </w:rPr>
        <w:t>2. Su nuotoliniu darbu susijusios papildomos investicijos.</w:t>
      </w:r>
    </w:p>
    <w:p w:rsidR="002C2B04" w:rsidRPr="00827F95" w:rsidRDefault="002C2B04" w:rsidP="00827F95">
      <w:pPr>
        <w:tabs>
          <w:tab w:val="left" w:pos="142"/>
        </w:tabs>
        <w:jc w:val="both"/>
        <w:rPr>
          <w:rFonts w:eastAsia="Calibri"/>
          <w:sz w:val="22"/>
          <w:szCs w:val="22"/>
          <w:lang w:val="en-US"/>
        </w:rPr>
      </w:pPr>
      <w:r w:rsidRPr="00827F95">
        <w:rPr>
          <w:rFonts w:eastAsia="Calibri"/>
          <w:sz w:val="22"/>
          <w:szCs w:val="22"/>
          <w:lang w:val="en-US"/>
        </w:rPr>
        <w:t xml:space="preserve">3. </w:t>
      </w:r>
      <w:r w:rsidR="00966B63" w:rsidRPr="00827F95">
        <w:rPr>
          <w:sz w:val="22"/>
          <w:szCs w:val="22"/>
        </w:rPr>
        <w:t>Dėl bazinės mėnesinės algos padidėjimo, mokytojų kvalifikacijos, pareiginės algos pastoviosios dalies koeficiento padidėjimo darbo užmokesčio sąnaudos pakilo 4–14 proc.</w:t>
      </w:r>
    </w:p>
    <w:p w:rsidR="002C2B04" w:rsidRPr="00827F95" w:rsidRDefault="002C2B04" w:rsidP="00827F95">
      <w:pPr>
        <w:tabs>
          <w:tab w:val="left" w:pos="142"/>
        </w:tabs>
        <w:jc w:val="both"/>
        <w:rPr>
          <w:sz w:val="22"/>
          <w:szCs w:val="22"/>
        </w:rPr>
      </w:pPr>
      <w:r w:rsidRPr="00827F95">
        <w:rPr>
          <w:rFonts w:eastAsia="Calibri"/>
          <w:sz w:val="22"/>
          <w:szCs w:val="22"/>
          <w:lang w:val="en-US"/>
        </w:rPr>
        <w:t xml:space="preserve">4. </w:t>
      </w:r>
      <w:r w:rsidR="00966B63" w:rsidRPr="00827F95">
        <w:rPr>
          <w:sz w:val="22"/>
          <w:szCs w:val="22"/>
        </w:rPr>
        <w:t>Komunalinių paslaugų išlaidos padidėjo 6–8 proc.</w:t>
      </w:r>
    </w:p>
    <w:p w:rsidR="00966B63" w:rsidRPr="00827F95" w:rsidRDefault="00966B63" w:rsidP="00827F95">
      <w:pPr>
        <w:ind w:firstLine="709"/>
        <w:jc w:val="both"/>
        <w:rPr>
          <w:sz w:val="22"/>
          <w:szCs w:val="22"/>
        </w:rPr>
      </w:pPr>
    </w:p>
    <w:p w:rsidR="0000562E" w:rsidRPr="002C2B04" w:rsidRDefault="0000562E" w:rsidP="0000562E">
      <w:pPr>
        <w:ind w:firstLine="709"/>
        <w:rPr>
          <w:b/>
          <w:sz w:val="22"/>
          <w:szCs w:val="22"/>
        </w:rPr>
      </w:pPr>
      <w:r w:rsidRPr="002C2B04">
        <w:rPr>
          <w:b/>
          <w:sz w:val="22"/>
          <w:szCs w:val="22"/>
        </w:rPr>
        <w:t>Lėšų poreikis (jeigu sprendimui įgyvendinti reikalingos)</w:t>
      </w:r>
    </w:p>
    <w:p w:rsidR="0000562E" w:rsidRPr="002C2B04" w:rsidRDefault="0000562E" w:rsidP="0000562E">
      <w:pPr>
        <w:ind w:firstLine="709"/>
        <w:rPr>
          <w:bCs/>
          <w:sz w:val="22"/>
          <w:szCs w:val="22"/>
        </w:rPr>
      </w:pPr>
      <w:r w:rsidRPr="002C2B04">
        <w:rPr>
          <w:bCs/>
          <w:sz w:val="22"/>
          <w:szCs w:val="22"/>
        </w:rPr>
        <w:t>Nėra.</w:t>
      </w:r>
    </w:p>
    <w:p w:rsidR="0000562E" w:rsidRDefault="0000562E" w:rsidP="0000562E">
      <w:pPr>
        <w:ind w:firstLine="709"/>
        <w:rPr>
          <w:b/>
          <w:sz w:val="22"/>
          <w:szCs w:val="22"/>
        </w:rPr>
      </w:pPr>
    </w:p>
    <w:p w:rsidR="00921611" w:rsidRDefault="00921611" w:rsidP="0000562E">
      <w:pPr>
        <w:ind w:firstLine="709"/>
        <w:jc w:val="both"/>
        <w:rPr>
          <w:b/>
          <w:sz w:val="22"/>
          <w:szCs w:val="22"/>
        </w:rPr>
      </w:pPr>
    </w:p>
    <w:p w:rsidR="00921611" w:rsidRDefault="00921611" w:rsidP="0000562E">
      <w:pPr>
        <w:ind w:firstLine="709"/>
        <w:jc w:val="both"/>
        <w:rPr>
          <w:b/>
          <w:sz w:val="22"/>
          <w:szCs w:val="22"/>
        </w:rPr>
      </w:pPr>
    </w:p>
    <w:p w:rsidR="00921611" w:rsidRDefault="00921611" w:rsidP="0000562E">
      <w:pPr>
        <w:ind w:firstLine="709"/>
        <w:jc w:val="both"/>
        <w:rPr>
          <w:b/>
          <w:sz w:val="22"/>
          <w:szCs w:val="22"/>
        </w:rPr>
      </w:pPr>
    </w:p>
    <w:p w:rsidR="0000562E" w:rsidRPr="00B34218" w:rsidRDefault="0000562E" w:rsidP="0000562E">
      <w:pPr>
        <w:ind w:firstLine="709"/>
        <w:jc w:val="both"/>
        <w:rPr>
          <w:sz w:val="22"/>
          <w:szCs w:val="22"/>
        </w:rPr>
      </w:pPr>
      <w:r w:rsidRPr="00B34218">
        <w:rPr>
          <w:b/>
          <w:sz w:val="22"/>
          <w:szCs w:val="22"/>
        </w:rPr>
        <w:t>Laukiami rezultatai</w:t>
      </w:r>
    </w:p>
    <w:p w:rsidR="0000562E" w:rsidRPr="00B34218" w:rsidRDefault="0000562E" w:rsidP="0000562E">
      <w:pPr>
        <w:ind w:firstLine="709"/>
        <w:jc w:val="both"/>
        <w:rPr>
          <w:sz w:val="22"/>
          <w:szCs w:val="22"/>
        </w:rPr>
      </w:pPr>
      <w:r w:rsidRPr="00B34218">
        <w:rPr>
          <w:sz w:val="22"/>
          <w:szCs w:val="22"/>
        </w:rPr>
        <w:t>Patvirtintos teikiamų paslaugos kainos. Centras galės teikti tradicines ir naujas paslaugas. Tai leis plėtoti formaliojo ir neformaliojo švietimo paslaugas, švietimo prieinamumą ir galimybių lygybę, švietimo kokybę, efektyviau panaudoti investicijas į švietimą.</w:t>
      </w:r>
    </w:p>
    <w:p w:rsidR="0000562E" w:rsidRPr="00B34218" w:rsidRDefault="0000562E" w:rsidP="0000562E">
      <w:pPr>
        <w:ind w:firstLine="680"/>
        <w:rPr>
          <w:b/>
          <w:bCs/>
          <w:sz w:val="22"/>
          <w:szCs w:val="22"/>
        </w:rPr>
      </w:pPr>
    </w:p>
    <w:p w:rsidR="0000562E" w:rsidRPr="00B34218" w:rsidRDefault="0000562E" w:rsidP="0000562E">
      <w:pPr>
        <w:ind w:firstLine="680"/>
        <w:rPr>
          <w:b/>
          <w:bCs/>
          <w:sz w:val="22"/>
          <w:szCs w:val="22"/>
        </w:rPr>
      </w:pPr>
      <w:r w:rsidRPr="00B34218">
        <w:rPr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0562E" w:rsidRPr="00B34218" w:rsidTr="00F5241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b/>
                <w:sz w:val="22"/>
                <w:szCs w:val="22"/>
                <w:lang w:bidi="lo-LA"/>
              </w:rPr>
            </w:pPr>
            <w:r w:rsidRPr="00B34218"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b/>
                <w:bCs/>
                <w:sz w:val="22"/>
                <w:szCs w:val="22"/>
              </w:rPr>
            </w:pPr>
            <w:r w:rsidRPr="00B34218"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00562E" w:rsidRPr="00B34218" w:rsidTr="00F5241A">
        <w:trPr>
          <w:trHeight w:val="4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62E" w:rsidRPr="00B34218" w:rsidRDefault="0000562E" w:rsidP="00F5241A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b/>
                <w:sz w:val="22"/>
                <w:szCs w:val="22"/>
              </w:rPr>
            </w:pPr>
            <w:r w:rsidRPr="00B34218"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b/>
                <w:i/>
                <w:sz w:val="22"/>
                <w:szCs w:val="22"/>
              </w:rPr>
            </w:pPr>
            <w:r w:rsidRPr="00B34218">
              <w:rPr>
                <w:b/>
                <w:sz w:val="22"/>
                <w:szCs w:val="22"/>
              </w:rPr>
              <w:t>Neigiamas poveikis</w:t>
            </w: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0562E" w:rsidRPr="00B34218" w:rsidTr="00F524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  <w:r w:rsidRPr="00B34218"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E" w:rsidRPr="00B34218" w:rsidRDefault="0000562E" w:rsidP="00F5241A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:rsidR="0000562E" w:rsidRPr="00B34218" w:rsidRDefault="0000562E" w:rsidP="0000562E">
      <w:pPr>
        <w:jc w:val="both"/>
        <w:rPr>
          <w:sz w:val="20"/>
          <w:szCs w:val="20"/>
        </w:rPr>
      </w:pPr>
      <w:r w:rsidRPr="00B34218">
        <w:rPr>
          <w:b/>
          <w:sz w:val="20"/>
          <w:szCs w:val="20"/>
          <w:lang w:bidi="lo-LA"/>
        </w:rPr>
        <w:t>*</w:t>
      </w:r>
      <w:r w:rsidRPr="00B34218">
        <w:rPr>
          <w:bCs/>
          <w:sz w:val="20"/>
          <w:szCs w:val="20"/>
        </w:rPr>
        <w:t xml:space="preserve"> Numatomo teisinio reguliavimo poveikio vertinimas atliekamas r</w:t>
      </w:r>
      <w:r w:rsidRPr="00B34218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B34218">
        <w:rPr>
          <w:sz w:val="20"/>
          <w:szCs w:val="20"/>
          <w:lang w:bidi="lo-LA"/>
        </w:rPr>
        <w:t xml:space="preserve"> </w:t>
      </w:r>
      <w:r w:rsidRPr="00B34218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00562E" w:rsidRPr="00B34218" w:rsidRDefault="0000562E" w:rsidP="0000562E">
      <w:pPr>
        <w:jc w:val="both"/>
        <w:rPr>
          <w:sz w:val="22"/>
          <w:szCs w:val="22"/>
        </w:rPr>
      </w:pPr>
    </w:p>
    <w:p w:rsidR="00B34218" w:rsidRDefault="00B34218" w:rsidP="00B34218">
      <w:pPr>
        <w:ind w:right="-1"/>
        <w:jc w:val="both"/>
        <w:rPr>
          <w:sz w:val="22"/>
          <w:szCs w:val="22"/>
        </w:rPr>
      </w:pPr>
    </w:p>
    <w:p w:rsidR="0000562E" w:rsidRPr="00B34218" w:rsidRDefault="00B322C1" w:rsidP="00B34218">
      <w:pPr>
        <w:ind w:right="-1"/>
        <w:jc w:val="both"/>
        <w:rPr>
          <w:color w:val="00000A"/>
          <w:sz w:val="22"/>
          <w:szCs w:val="22"/>
          <w:lang w:eastAsia="zh-CN"/>
        </w:rPr>
      </w:pPr>
      <w:r>
        <w:rPr>
          <w:sz w:val="22"/>
          <w:szCs w:val="22"/>
        </w:rPr>
        <w:t xml:space="preserve">L. e. p. </w:t>
      </w:r>
      <w:r w:rsidR="0000562E" w:rsidRPr="00B34218">
        <w:rPr>
          <w:sz w:val="22"/>
          <w:szCs w:val="22"/>
        </w:rPr>
        <w:t>Švietimo skyriaus vedėja</w:t>
      </w:r>
      <w:r w:rsidR="0000562E" w:rsidRPr="00B34218">
        <w:rPr>
          <w:sz w:val="22"/>
          <w:szCs w:val="22"/>
        </w:rPr>
        <w:tab/>
      </w:r>
      <w:r w:rsidR="0000562E" w:rsidRPr="00B3421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Vilma </w:t>
      </w:r>
      <w:proofErr w:type="spellStart"/>
      <w:r>
        <w:rPr>
          <w:sz w:val="22"/>
          <w:szCs w:val="22"/>
        </w:rPr>
        <w:t>Dobrovolskienė</w:t>
      </w:r>
      <w:proofErr w:type="spellEnd"/>
    </w:p>
    <w:p w:rsidR="005E1DE9" w:rsidRDefault="005E1DE9" w:rsidP="00F92EF3">
      <w:pPr>
        <w:pStyle w:val="Pavadinimas"/>
        <w:jc w:val="left"/>
        <w:rPr>
          <w:b w:val="0"/>
          <w:bCs w:val="0"/>
        </w:rPr>
      </w:pPr>
    </w:p>
    <w:sectPr w:rsidR="005E1DE9" w:rsidSect="007A34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84A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1B0B2A83"/>
    <w:multiLevelType w:val="multilevel"/>
    <w:tmpl w:val="58B46F72"/>
    <w:lvl w:ilvl="0">
      <w:start w:val="2014"/>
      <w:numFmt w:val="decimal"/>
      <w:lvlText w:val="%1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95"/>
        </w:tabs>
        <w:ind w:left="2595" w:hanging="2595"/>
      </w:pPr>
      <w:rPr>
        <w:rFonts w:hint="default"/>
      </w:rPr>
    </w:lvl>
  </w:abstractNum>
  <w:abstractNum w:abstractNumId="2" w15:restartNumberingAfterBreak="0">
    <w:nsid w:val="44786B65"/>
    <w:multiLevelType w:val="hybridMultilevel"/>
    <w:tmpl w:val="187CA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2538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4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93"/>
    <w:rsid w:val="0000562E"/>
    <w:rsid w:val="00022507"/>
    <w:rsid w:val="00024AC2"/>
    <w:rsid w:val="00036318"/>
    <w:rsid w:val="0007544E"/>
    <w:rsid w:val="00087018"/>
    <w:rsid w:val="000877D1"/>
    <w:rsid w:val="000A2965"/>
    <w:rsid w:val="000D4D3F"/>
    <w:rsid w:val="000D7C71"/>
    <w:rsid w:val="000F60F3"/>
    <w:rsid w:val="00144D49"/>
    <w:rsid w:val="001578BE"/>
    <w:rsid w:val="00175674"/>
    <w:rsid w:val="001960C1"/>
    <w:rsid w:val="001E13AC"/>
    <w:rsid w:val="001F1263"/>
    <w:rsid w:val="001F4155"/>
    <w:rsid w:val="0022489E"/>
    <w:rsid w:val="00227B3E"/>
    <w:rsid w:val="00253ABE"/>
    <w:rsid w:val="00255AC9"/>
    <w:rsid w:val="00287055"/>
    <w:rsid w:val="002C2B04"/>
    <w:rsid w:val="002F39DD"/>
    <w:rsid w:val="00323E62"/>
    <w:rsid w:val="003359CF"/>
    <w:rsid w:val="003411E7"/>
    <w:rsid w:val="00356179"/>
    <w:rsid w:val="003A16CC"/>
    <w:rsid w:val="003A609C"/>
    <w:rsid w:val="0048612F"/>
    <w:rsid w:val="004A1861"/>
    <w:rsid w:val="004E11F6"/>
    <w:rsid w:val="004E61EA"/>
    <w:rsid w:val="004F5CDD"/>
    <w:rsid w:val="00557141"/>
    <w:rsid w:val="005A775B"/>
    <w:rsid w:val="005E1DE9"/>
    <w:rsid w:val="005E4B5A"/>
    <w:rsid w:val="005E5548"/>
    <w:rsid w:val="005F32BE"/>
    <w:rsid w:val="00672EF6"/>
    <w:rsid w:val="00695164"/>
    <w:rsid w:val="00714486"/>
    <w:rsid w:val="00724DFD"/>
    <w:rsid w:val="00746D68"/>
    <w:rsid w:val="00765439"/>
    <w:rsid w:val="007A3440"/>
    <w:rsid w:val="007F0CD3"/>
    <w:rsid w:val="00815C28"/>
    <w:rsid w:val="00827F95"/>
    <w:rsid w:val="008755E4"/>
    <w:rsid w:val="008B7B0C"/>
    <w:rsid w:val="0090402E"/>
    <w:rsid w:val="00921611"/>
    <w:rsid w:val="00966B63"/>
    <w:rsid w:val="00983D58"/>
    <w:rsid w:val="009932CB"/>
    <w:rsid w:val="00996259"/>
    <w:rsid w:val="009A3A40"/>
    <w:rsid w:val="009D4A43"/>
    <w:rsid w:val="009D6C75"/>
    <w:rsid w:val="00A219C1"/>
    <w:rsid w:val="00A4518C"/>
    <w:rsid w:val="00A61893"/>
    <w:rsid w:val="00AC27E4"/>
    <w:rsid w:val="00AC3C6D"/>
    <w:rsid w:val="00B12DC9"/>
    <w:rsid w:val="00B23FCD"/>
    <w:rsid w:val="00B322C1"/>
    <w:rsid w:val="00B32EC0"/>
    <w:rsid w:val="00B34218"/>
    <w:rsid w:val="00B367BD"/>
    <w:rsid w:val="00B75455"/>
    <w:rsid w:val="00B80384"/>
    <w:rsid w:val="00B84D18"/>
    <w:rsid w:val="00B9654C"/>
    <w:rsid w:val="00BB674E"/>
    <w:rsid w:val="00BE42FF"/>
    <w:rsid w:val="00BF588F"/>
    <w:rsid w:val="00C0440B"/>
    <w:rsid w:val="00C319B0"/>
    <w:rsid w:val="00C70239"/>
    <w:rsid w:val="00CF041C"/>
    <w:rsid w:val="00D226EB"/>
    <w:rsid w:val="00D36687"/>
    <w:rsid w:val="00D42DE0"/>
    <w:rsid w:val="00D4431E"/>
    <w:rsid w:val="00D74E45"/>
    <w:rsid w:val="00DA7B10"/>
    <w:rsid w:val="00DB073F"/>
    <w:rsid w:val="00DD0E20"/>
    <w:rsid w:val="00DE32E3"/>
    <w:rsid w:val="00DF68FF"/>
    <w:rsid w:val="00E030A7"/>
    <w:rsid w:val="00E45543"/>
    <w:rsid w:val="00E65B52"/>
    <w:rsid w:val="00E77E84"/>
    <w:rsid w:val="00EC7A78"/>
    <w:rsid w:val="00EF7721"/>
    <w:rsid w:val="00F05E0C"/>
    <w:rsid w:val="00F16374"/>
    <w:rsid w:val="00F46E54"/>
    <w:rsid w:val="00F5241A"/>
    <w:rsid w:val="00F66D95"/>
    <w:rsid w:val="00F92EF3"/>
    <w:rsid w:val="00F94848"/>
    <w:rsid w:val="00FB55EE"/>
    <w:rsid w:val="00FB7411"/>
    <w:rsid w:val="00FC63CE"/>
    <w:rsid w:val="00FF369D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881D-DAB6-46F7-9AD2-3B4F95E6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C63C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FC63CE"/>
    <w:rPr>
      <w:b/>
      <w:bCs/>
      <w:sz w:val="24"/>
      <w:szCs w:val="24"/>
      <w:lang w:val="lt-LT" w:eastAsia="en-US" w:bidi="ar-SA"/>
    </w:rPr>
  </w:style>
  <w:style w:type="character" w:customStyle="1" w:styleId="PaantratDiagrama">
    <w:name w:val="Paantraštė Diagrama"/>
    <w:aliases w:val="Antrinis pavadinimas Diagrama,Char Diagrama,Char Char Char Diagrama, Char Diagrama"/>
    <w:link w:val="Paantrat"/>
    <w:locked/>
    <w:rsid w:val="00FC63CE"/>
    <w:rPr>
      <w:b/>
      <w:sz w:val="24"/>
      <w:lang w:eastAsia="zh-CN" w:bidi="ar-SA"/>
    </w:rPr>
  </w:style>
  <w:style w:type="paragraph" w:styleId="Paantrat">
    <w:name w:val="Subtitle"/>
    <w:aliases w:val="Antrinis pavadinimas,Char,Char Char Char, Char"/>
    <w:basedOn w:val="prastasis"/>
    <w:link w:val="PaantratDiagrama"/>
    <w:qFormat/>
    <w:rsid w:val="00FC63CE"/>
    <w:pPr>
      <w:jc w:val="center"/>
    </w:pPr>
    <w:rPr>
      <w:b/>
      <w:szCs w:val="20"/>
      <w:lang w:val="x-none" w:eastAsia="zh-CN"/>
    </w:rPr>
  </w:style>
  <w:style w:type="paragraph" w:customStyle="1" w:styleId="DiagramaChar">
    <w:name w:val="Diagrama Char"/>
    <w:basedOn w:val="prastasis"/>
    <w:rsid w:val="00FC63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EC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036318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qFormat/>
    <w:rsid w:val="000D7C71"/>
    <w:pPr>
      <w:ind w:left="720"/>
      <w:contextualSpacing/>
      <w:jc w:val="both"/>
    </w:pPr>
    <w:rPr>
      <w:rFonts w:eastAsia="Calibri"/>
      <w:lang w:eastAsia="en-US"/>
    </w:rPr>
  </w:style>
  <w:style w:type="paragraph" w:styleId="Debesliotekstas">
    <w:name w:val="Balloon Text"/>
    <w:basedOn w:val="prastasis"/>
    <w:link w:val="DebesliotekstasDiagrama"/>
    <w:rsid w:val="005E55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E554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6B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60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5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8E00-3AAD-4F79-A392-CE5F6C9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Antanas</dc:creator>
  <cp:keywords/>
  <dc:description/>
  <cp:lastModifiedBy>Vartotoja</cp:lastModifiedBy>
  <cp:revision>3</cp:revision>
  <cp:lastPrinted>2021-09-10T05:52:00Z</cp:lastPrinted>
  <dcterms:created xsi:type="dcterms:W3CDTF">2021-09-10T07:03:00Z</dcterms:created>
  <dcterms:modified xsi:type="dcterms:W3CDTF">2021-09-15T08:33:00Z</dcterms:modified>
</cp:coreProperties>
</file>