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242DCE" w:rsidRDefault="007C5AF9" w:rsidP="008920EE">
      <w:pPr>
        <w:spacing w:line="360" w:lineRule="auto"/>
        <w:jc w:val="both"/>
        <w:rPr>
          <w:rFonts w:eastAsia="Calibri"/>
          <w:szCs w:val="24"/>
          <w:lang w:eastAsia="en-US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„</w:t>
      </w:r>
      <w:r w:rsidR="008879F3">
        <w:rPr>
          <w:color w:val="000000"/>
          <w:szCs w:val="24"/>
        </w:rPr>
        <w:t xml:space="preserve">Dėl </w:t>
      </w:r>
      <w:r w:rsidR="008879F3" w:rsidRPr="008879F3">
        <w:rPr>
          <w:rFonts w:eastAsia="Calibri"/>
          <w:szCs w:val="24"/>
          <w:lang w:eastAsia="en-US"/>
        </w:rPr>
        <w:t>Kėdainių rajono savivaldybės tarybos 2019 m. lapkričio 29 d. sprendim</w:t>
      </w:r>
      <w:r w:rsidR="008879F3">
        <w:rPr>
          <w:rFonts w:eastAsia="Calibri"/>
          <w:szCs w:val="24"/>
          <w:lang w:eastAsia="en-US"/>
        </w:rPr>
        <w:t>o</w:t>
      </w:r>
      <w:r w:rsidR="008879F3" w:rsidRPr="008879F3">
        <w:rPr>
          <w:rFonts w:eastAsia="Calibri"/>
          <w:szCs w:val="24"/>
          <w:lang w:eastAsia="en-US"/>
        </w:rPr>
        <w:t xml:space="preserve"> Nr. TS-247 „Dėl atlyginimo dydžio už vaikų išlaikymą Kėdainių rajono savivaldybės ugdymo įstaigose, vykdančiose ikimokyklinio ir priešmokyklinio ugdymo programas, tvarkos aprašo patvirtinimo</w:t>
      </w:r>
      <w:r w:rsidR="005049A3" w:rsidRPr="005049A3">
        <w:rPr>
          <w:rFonts w:eastAsia="Calibri"/>
          <w:szCs w:val="24"/>
          <w:lang w:eastAsia="en-US"/>
        </w:rPr>
        <w:t>“</w:t>
      </w:r>
      <w:r w:rsidR="008879F3">
        <w:rPr>
          <w:rFonts w:eastAsia="Calibri"/>
          <w:szCs w:val="24"/>
          <w:lang w:eastAsia="en-US"/>
        </w:rPr>
        <w:t xml:space="preserve"> pakeitimo“</w:t>
      </w:r>
      <w:r w:rsidR="005049A3" w:rsidRPr="005049A3">
        <w:rPr>
          <w:rFonts w:eastAsia="Calibri"/>
          <w:szCs w:val="24"/>
          <w:lang w:eastAsia="en-US"/>
        </w:rPr>
        <w:t xml:space="preserve"> 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5049A3">
        <w:rPr>
          <w:szCs w:val="24"/>
        </w:rPr>
        <w:t xml:space="preserve">Vilma </w:t>
      </w:r>
      <w:proofErr w:type="spellStart"/>
      <w:r w:rsidR="005049A3">
        <w:rPr>
          <w:szCs w:val="24"/>
        </w:rPr>
        <w:t>Dobrovolskienė</w:t>
      </w:r>
      <w:proofErr w:type="spellEnd"/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EA1156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6E2219">
            <w:p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  <w:r w:rsidRPr="003F397E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754D66">
              <w:rPr>
                <w:sz w:val="22"/>
                <w:szCs w:val="22"/>
              </w:rPr>
              <w:t>. Numatytas konkretus atlyginim</w:t>
            </w:r>
            <w:r w:rsidR="00B70E9F">
              <w:rPr>
                <w:sz w:val="22"/>
                <w:szCs w:val="22"/>
              </w:rPr>
              <w:t>o dydis</w:t>
            </w:r>
            <w:r w:rsidR="00754D66">
              <w:rPr>
                <w:sz w:val="22"/>
                <w:szCs w:val="22"/>
              </w:rPr>
              <w:t xml:space="preserve"> už vaikų išlaikymą Kėdainių rajono savivaldybės ugdymo įstaigo</w:t>
            </w:r>
            <w:r w:rsidR="00B70E9F">
              <w:rPr>
                <w:sz w:val="22"/>
                <w:szCs w:val="22"/>
              </w:rPr>
              <w:t>se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B70E9F" w:rsidRDefault="00B70E9F" w:rsidP="0001126E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B70E9F" w:rsidP="00011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Atitinka. Sprendimo projekte išvardinti atvejai, kada netaikomas atlyginimo dydis už vaikų išlaikymą Kėdainių rajono savivaldybės ugdymo įstaigose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BA3071" w:rsidRDefault="00BA3071" w:rsidP="00AC43CF">
            <w:pPr>
              <w:rPr>
                <w:sz w:val="22"/>
                <w:szCs w:val="22"/>
              </w:rPr>
            </w:pPr>
          </w:p>
          <w:p w:rsidR="00814DBF" w:rsidRPr="00814DBF" w:rsidRDefault="00814DBF" w:rsidP="00814DBF">
            <w:pPr>
              <w:rPr>
                <w:sz w:val="22"/>
                <w:szCs w:val="22"/>
              </w:rPr>
            </w:pPr>
          </w:p>
          <w:p w:rsidR="007C5AF9" w:rsidRPr="00303973" w:rsidRDefault="00814DBF" w:rsidP="00814DBF">
            <w:pPr>
              <w:rPr>
                <w:sz w:val="22"/>
                <w:szCs w:val="22"/>
              </w:rPr>
            </w:pPr>
            <w:r w:rsidRPr="00814DBF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D94A8B" w:rsidRDefault="00D94A8B" w:rsidP="001E5213">
            <w:pPr>
              <w:jc w:val="both"/>
              <w:rPr>
                <w:sz w:val="22"/>
                <w:szCs w:val="22"/>
              </w:rPr>
            </w:pPr>
          </w:p>
          <w:p w:rsidR="00D94A8B" w:rsidRDefault="00D94A8B" w:rsidP="001E5213">
            <w:pPr>
              <w:jc w:val="both"/>
              <w:rPr>
                <w:sz w:val="22"/>
                <w:szCs w:val="22"/>
              </w:rPr>
            </w:pPr>
          </w:p>
          <w:p w:rsidR="00B500F0" w:rsidRDefault="008A1E99" w:rsidP="001E5213">
            <w:pPr>
              <w:jc w:val="both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DA13AC" w:rsidRDefault="00DA13AC" w:rsidP="00F00C1F">
            <w:pPr>
              <w:jc w:val="center"/>
              <w:rPr>
                <w:sz w:val="22"/>
                <w:szCs w:val="22"/>
              </w:rPr>
            </w:pPr>
          </w:p>
          <w:p w:rsidR="00DA13AC" w:rsidRDefault="00DA13AC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3"/>
        <w:gridCol w:w="1861"/>
        <w:gridCol w:w="4910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</w:rPr>
            </w:pPr>
          </w:p>
          <w:p w:rsidR="005049A3" w:rsidRDefault="005049A3" w:rsidP="005049A3">
            <w:pPr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Švietimo</w:t>
            </w:r>
          </w:p>
          <w:p w:rsidR="00AA480E" w:rsidRPr="00905067" w:rsidRDefault="005049A3" w:rsidP="005049A3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</w:rPr>
              <w:t xml:space="preserve">skyriaus vedėja </w:t>
            </w:r>
            <w:r>
              <w:rPr>
                <w:kern w:val="1"/>
                <w:szCs w:val="24"/>
              </w:rPr>
              <w:t xml:space="preserve">                               Vilma </w:t>
            </w:r>
            <w:proofErr w:type="spellStart"/>
            <w:r>
              <w:rPr>
                <w:kern w:val="1"/>
                <w:szCs w:val="24"/>
              </w:rPr>
              <w:t>Dobrovolskienė</w:t>
            </w:r>
            <w:proofErr w:type="spellEnd"/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proofErr w:type="spellStart"/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  <w:proofErr w:type="spellEnd"/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8"/>
      <w:headerReference w:type="default" r:id="rId9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E61" w:rsidRDefault="00282E61">
      <w:r>
        <w:separator/>
      </w:r>
    </w:p>
  </w:endnote>
  <w:endnote w:type="continuationSeparator" w:id="0">
    <w:p w:rsidR="00282E61" w:rsidRDefault="0028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E61" w:rsidRDefault="00282E61">
      <w:r>
        <w:separator/>
      </w:r>
    </w:p>
  </w:footnote>
  <w:footnote w:type="continuationSeparator" w:id="0">
    <w:p w:rsidR="00282E61" w:rsidRDefault="00282E61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6E11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6065B54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7AA0125"/>
    <w:multiLevelType w:val="multilevel"/>
    <w:tmpl w:val="B2D07B26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9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2"/>
  </w:num>
  <w:num w:numId="5">
    <w:abstractNumId w:val="2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36DC2"/>
    <w:rsid w:val="00040D80"/>
    <w:rsid w:val="0004392A"/>
    <w:rsid w:val="00043BF9"/>
    <w:rsid w:val="00050062"/>
    <w:rsid w:val="00050479"/>
    <w:rsid w:val="00053A93"/>
    <w:rsid w:val="00055BBC"/>
    <w:rsid w:val="0005781B"/>
    <w:rsid w:val="00061715"/>
    <w:rsid w:val="0006249C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3EEB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3B22"/>
    <w:rsid w:val="000F4DAE"/>
    <w:rsid w:val="000F52F1"/>
    <w:rsid w:val="00102754"/>
    <w:rsid w:val="001079FB"/>
    <w:rsid w:val="001130BB"/>
    <w:rsid w:val="0011343E"/>
    <w:rsid w:val="00120A66"/>
    <w:rsid w:val="001272CA"/>
    <w:rsid w:val="001274EF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AA1"/>
    <w:rsid w:val="001B7E03"/>
    <w:rsid w:val="001C15FF"/>
    <w:rsid w:val="001C71F1"/>
    <w:rsid w:val="001C7639"/>
    <w:rsid w:val="001D0ECF"/>
    <w:rsid w:val="001D257A"/>
    <w:rsid w:val="001D77D7"/>
    <w:rsid w:val="001E2991"/>
    <w:rsid w:val="001E37A0"/>
    <w:rsid w:val="001E5213"/>
    <w:rsid w:val="001E5B2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2678B"/>
    <w:rsid w:val="002325E5"/>
    <w:rsid w:val="00233FFE"/>
    <w:rsid w:val="00234578"/>
    <w:rsid w:val="002351DA"/>
    <w:rsid w:val="002368EF"/>
    <w:rsid w:val="00242DCE"/>
    <w:rsid w:val="00243E54"/>
    <w:rsid w:val="00244099"/>
    <w:rsid w:val="00245C90"/>
    <w:rsid w:val="00246833"/>
    <w:rsid w:val="002504B1"/>
    <w:rsid w:val="0025324A"/>
    <w:rsid w:val="00256A2C"/>
    <w:rsid w:val="0026001E"/>
    <w:rsid w:val="00263E2F"/>
    <w:rsid w:val="0026507D"/>
    <w:rsid w:val="00266B18"/>
    <w:rsid w:val="0026711A"/>
    <w:rsid w:val="002672B6"/>
    <w:rsid w:val="00271399"/>
    <w:rsid w:val="0027356B"/>
    <w:rsid w:val="00273F0D"/>
    <w:rsid w:val="00282E61"/>
    <w:rsid w:val="0028704B"/>
    <w:rsid w:val="00291A85"/>
    <w:rsid w:val="0029473A"/>
    <w:rsid w:val="00294BDB"/>
    <w:rsid w:val="002952C9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56C6"/>
    <w:rsid w:val="002C69E1"/>
    <w:rsid w:val="002D0CD9"/>
    <w:rsid w:val="002D2E3E"/>
    <w:rsid w:val="002D4B01"/>
    <w:rsid w:val="002D50FD"/>
    <w:rsid w:val="002D64AB"/>
    <w:rsid w:val="002D7DC7"/>
    <w:rsid w:val="002E3918"/>
    <w:rsid w:val="002E4E8E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48DA"/>
    <w:rsid w:val="0036297F"/>
    <w:rsid w:val="003651C0"/>
    <w:rsid w:val="00366C43"/>
    <w:rsid w:val="003673CF"/>
    <w:rsid w:val="00370866"/>
    <w:rsid w:val="00374D3E"/>
    <w:rsid w:val="0038071A"/>
    <w:rsid w:val="003869E1"/>
    <w:rsid w:val="0038783B"/>
    <w:rsid w:val="0039104B"/>
    <w:rsid w:val="00394B42"/>
    <w:rsid w:val="00396211"/>
    <w:rsid w:val="003A01B1"/>
    <w:rsid w:val="003A32AD"/>
    <w:rsid w:val="003A5D13"/>
    <w:rsid w:val="003A6E11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77CDA"/>
    <w:rsid w:val="00481D88"/>
    <w:rsid w:val="00481EDB"/>
    <w:rsid w:val="004825AD"/>
    <w:rsid w:val="00482930"/>
    <w:rsid w:val="00483BAE"/>
    <w:rsid w:val="0048524F"/>
    <w:rsid w:val="00486062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040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049A3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37B64"/>
    <w:rsid w:val="005428FA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5F7BC5"/>
    <w:rsid w:val="00600A4B"/>
    <w:rsid w:val="00601EBA"/>
    <w:rsid w:val="00602B40"/>
    <w:rsid w:val="006106D8"/>
    <w:rsid w:val="00611BE3"/>
    <w:rsid w:val="0061284D"/>
    <w:rsid w:val="00612896"/>
    <w:rsid w:val="006133AA"/>
    <w:rsid w:val="00613AD4"/>
    <w:rsid w:val="006157D4"/>
    <w:rsid w:val="00616BDE"/>
    <w:rsid w:val="0061765A"/>
    <w:rsid w:val="00617E30"/>
    <w:rsid w:val="0062183E"/>
    <w:rsid w:val="00622CE3"/>
    <w:rsid w:val="00626F9E"/>
    <w:rsid w:val="006338DA"/>
    <w:rsid w:val="006406D3"/>
    <w:rsid w:val="00646985"/>
    <w:rsid w:val="0065180C"/>
    <w:rsid w:val="006547B6"/>
    <w:rsid w:val="006559D1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58C0"/>
    <w:rsid w:val="006972E2"/>
    <w:rsid w:val="00697FD6"/>
    <w:rsid w:val="006A0486"/>
    <w:rsid w:val="006A2A82"/>
    <w:rsid w:val="006A3D0B"/>
    <w:rsid w:val="006B023A"/>
    <w:rsid w:val="006B0EEB"/>
    <w:rsid w:val="006B1636"/>
    <w:rsid w:val="006B71A4"/>
    <w:rsid w:val="006B7E9D"/>
    <w:rsid w:val="006C08DA"/>
    <w:rsid w:val="006C75F6"/>
    <w:rsid w:val="006D5495"/>
    <w:rsid w:val="006D5D3D"/>
    <w:rsid w:val="006D64AE"/>
    <w:rsid w:val="006D7067"/>
    <w:rsid w:val="006E058F"/>
    <w:rsid w:val="006E2219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4D66"/>
    <w:rsid w:val="00757DFF"/>
    <w:rsid w:val="00761339"/>
    <w:rsid w:val="00763C5D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112E"/>
    <w:rsid w:val="007D6E06"/>
    <w:rsid w:val="007D70B9"/>
    <w:rsid w:val="007E46ED"/>
    <w:rsid w:val="007E70D1"/>
    <w:rsid w:val="007F11D5"/>
    <w:rsid w:val="007F27AF"/>
    <w:rsid w:val="007F51F5"/>
    <w:rsid w:val="007F7538"/>
    <w:rsid w:val="007F78DC"/>
    <w:rsid w:val="0080120E"/>
    <w:rsid w:val="00802100"/>
    <w:rsid w:val="008058AB"/>
    <w:rsid w:val="00814D28"/>
    <w:rsid w:val="00814DBF"/>
    <w:rsid w:val="008166C9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220B"/>
    <w:rsid w:val="008431FA"/>
    <w:rsid w:val="00844B28"/>
    <w:rsid w:val="008469BB"/>
    <w:rsid w:val="008471CD"/>
    <w:rsid w:val="008570A3"/>
    <w:rsid w:val="008605BD"/>
    <w:rsid w:val="00861D67"/>
    <w:rsid w:val="00862698"/>
    <w:rsid w:val="00864138"/>
    <w:rsid w:val="008669A9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879F3"/>
    <w:rsid w:val="008902CE"/>
    <w:rsid w:val="008920EE"/>
    <w:rsid w:val="00892B62"/>
    <w:rsid w:val="00894D5A"/>
    <w:rsid w:val="00897303"/>
    <w:rsid w:val="008A1290"/>
    <w:rsid w:val="008A1E99"/>
    <w:rsid w:val="008A23B1"/>
    <w:rsid w:val="008A2661"/>
    <w:rsid w:val="008C051C"/>
    <w:rsid w:val="008C095C"/>
    <w:rsid w:val="008C3E52"/>
    <w:rsid w:val="008C5A6E"/>
    <w:rsid w:val="008C5C61"/>
    <w:rsid w:val="008C5E17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0AB9"/>
    <w:rsid w:val="00943590"/>
    <w:rsid w:val="00943FB5"/>
    <w:rsid w:val="0094421C"/>
    <w:rsid w:val="0094440D"/>
    <w:rsid w:val="00956722"/>
    <w:rsid w:val="00956874"/>
    <w:rsid w:val="00967488"/>
    <w:rsid w:val="00967551"/>
    <w:rsid w:val="00967EAF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F0FB4"/>
    <w:rsid w:val="009F22D3"/>
    <w:rsid w:val="009F7D76"/>
    <w:rsid w:val="00A00E8B"/>
    <w:rsid w:val="00A044BB"/>
    <w:rsid w:val="00A06E95"/>
    <w:rsid w:val="00A106C8"/>
    <w:rsid w:val="00A14E8E"/>
    <w:rsid w:val="00A233CA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651E0"/>
    <w:rsid w:val="00A65FFB"/>
    <w:rsid w:val="00A67CCF"/>
    <w:rsid w:val="00A70A86"/>
    <w:rsid w:val="00A738A3"/>
    <w:rsid w:val="00A76FC1"/>
    <w:rsid w:val="00A831D7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C02DA"/>
    <w:rsid w:val="00AC31A7"/>
    <w:rsid w:val="00AC3FCD"/>
    <w:rsid w:val="00AC43CF"/>
    <w:rsid w:val="00AD29ED"/>
    <w:rsid w:val="00AD7299"/>
    <w:rsid w:val="00AD7420"/>
    <w:rsid w:val="00AE1E21"/>
    <w:rsid w:val="00AF1596"/>
    <w:rsid w:val="00AF4619"/>
    <w:rsid w:val="00AF7D79"/>
    <w:rsid w:val="00B14664"/>
    <w:rsid w:val="00B16079"/>
    <w:rsid w:val="00B1730B"/>
    <w:rsid w:val="00B20688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0E9F"/>
    <w:rsid w:val="00B71DC8"/>
    <w:rsid w:val="00B71E40"/>
    <w:rsid w:val="00B72532"/>
    <w:rsid w:val="00B72613"/>
    <w:rsid w:val="00B76743"/>
    <w:rsid w:val="00B8334C"/>
    <w:rsid w:val="00B85E1B"/>
    <w:rsid w:val="00B905AA"/>
    <w:rsid w:val="00B94216"/>
    <w:rsid w:val="00B97415"/>
    <w:rsid w:val="00BA12C2"/>
    <w:rsid w:val="00BA3071"/>
    <w:rsid w:val="00BA4F2E"/>
    <w:rsid w:val="00BA4F48"/>
    <w:rsid w:val="00BA5809"/>
    <w:rsid w:val="00BB2555"/>
    <w:rsid w:val="00BB3F84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5287"/>
    <w:rsid w:val="00BF61F7"/>
    <w:rsid w:val="00BF71E4"/>
    <w:rsid w:val="00C02FFC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0708"/>
    <w:rsid w:val="00CE5414"/>
    <w:rsid w:val="00CE6FA4"/>
    <w:rsid w:val="00CF2355"/>
    <w:rsid w:val="00CF45B1"/>
    <w:rsid w:val="00CF6571"/>
    <w:rsid w:val="00CF668F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312AC"/>
    <w:rsid w:val="00D31B55"/>
    <w:rsid w:val="00D32EC4"/>
    <w:rsid w:val="00D33019"/>
    <w:rsid w:val="00D35DEF"/>
    <w:rsid w:val="00D36AC8"/>
    <w:rsid w:val="00D42CA5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94A8B"/>
    <w:rsid w:val="00DA13AC"/>
    <w:rsid w:val="00DA215C"/>
    <w:rsid w:val="00DA2265"/>
    <w:rsid w:val="00DA3554"/>
    <w:rsid w:val="00DA38CD"/>
    <w:rsid w:val="00DA7F0F"/>
    <w:rsid w:val="00DB0A26"/>
    <w:rsid w:val="00DB16F6"/>
    <w:rsid w:val="00DB1923"/>
    <w:rsid w:val="00DB1C98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30EE"/>
    <w:rsid w:val="00E43128"/>
    <w:rsid w:val="00E447D3"/>
    <w:rsid w:val="00E44E34"/>
    <w:rsid w:val="00E462F1"/>
    <w:rsid w:val="00E54F83"/>
    <w:rsid w:val="00E5628E"/>
    <w:rsid w:val="00E62DB1"/>
    <w:rsid w:val="00E70DD5"/>
    <w:rsid w:val="00E70DE9"/>
    <w:rsid w:val="00E74020"/>
    <w:rsid w:val="00E8065F"/>
    <w:rsid w:val="00E854D8"/>
    <w:rsid w:val="00E8707C"/>
    <w:rsid w:val="00E93CF4"/>
    <w:rsid w:val="00E94E58"/>
    <w:rsid w:val="00E963E3"/>
    <w:rsid w:val="00EA1156"/>
    <w:rsid w:val="00EA1FE4"/>
    <w:rsid w:val="00EA5325"/>
    <w:rsid w:val="00EA6659"/>
    <w:rsid w:val="00EB455F"/>
    <w:rsid w:val="00EB45E4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EF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3EB6"/>
    <w:rsid w:val="00FA0505"/>
    <w:rsid w:val="00FA6C20"/>
    <w:rsid w:val="00FB2F3E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44BEC-1956-4C18-90B6-91798E6E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assunumeriais">
    <w:name w:val="List Number"/>
    <w:basedOn w:val="prastasis"/>
    <w:uiPriority w:val="99"/>
    <w:semiHidden/>
    <w:unhideWhenUsed/>
    <w:rsid w:val="00DA2265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2444-9F78-4CDE-B1B8-5E7587F8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2017-12-11T06:46:00Z</cp:lastPrinted>
  <dcterms:created xsi:type="dcterms:W3CDTF">2021-11-17T11:33:00Z</dcterms:created>
  <dcterms:modified xsi:type="dcterms:W3CDTF">2021-11-17T11:33:00Z</dcterms:modified>
</cp:coreProperties>
</file>