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F45FB2" w:rsidRPr="007C5AF9" w:rsidRDefault="00F45FB2" w:rsidP="00F45FB2">
      <w:pPr>
        <w:jc w:val="center"/>
        <w:rPr>
          <w:b/>
          <w:szCs w:val="24"/>
        </w:rPr>
      </w:pPr>
    </w:p>
    <w:p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F45FB2" w:rsidRPr="007C5AF9" w:rsidRDefault="00F45FB2" w:rsidP="00F45FB2">
      <w:pPr>
        <w:rPr>
          <w:szCs w:val="24"/>
        </w:rPr>
      </w:pPr>
    </w:p>
    <w:p w:rsidR="005C7935" w:rsidRPr="00694FAA" w:rsidRDefault="00F45FB2" w:rsidP="00003CA4">
      <w:pPr>
        <w:rPr>
          <w:bCs/>
          <w:color w:val="000000"/>
        </w:rPr>
      </w:pPr>
      <w:r>
        <w:rPr>
          <w:szCs w:val="24"/>
        </w:rPr>
        <w:t xml:space="preserve">         </w:t>
      </w:r>
      <w:r w:rsidRPr="00803612">
        <w:rPr>
          <w:b/>
          <w:szCs w:val="24"/>
        </w:rPr>
        <w:t xml:space="preserve">Teisės akto projekto pavadinimas: Kėdainių rajono savivaldybės tarybos sprendimas </w:t>
      </w:r>
      <w:r w:rsidRPr="00EE77F4">
        <w:rPr>
          <w:szCs w:val="24"/>
        </w:rPr>
        <w:t>„</w:t>
      </w:r>
      <w:r w:rsidR="00003CA4">
        <w:rPr>
          <w:szCs w:val="24"/>
        </w:rPr>
        <w:t>D</w:t>
      </w:r>
      <w:r w:rsidR="00003CA4" w:rsidRPr="00003CA4">
        <w:rPr>
          <w:bCs/>
          <w:szCs w:val="24"/>
        </w:rPr>
        <w:t xml:space="preserve">ėl </w:t>
      </w:r>
      <w:r w:rsidR="00003CA4">
        <w:rPr>
          <w:bCs/>
          <w:szCs w:val="24"/>
        </w:rPr>
        <w:t>K</w:t>
      </w:r>
      <w:r w:rsidR="00003CA4" w:rsidRPr="00003CA4">
        <w:rPr>
          <w:bCs/>
          <w:szCs w:val="24"/>
        </w:rPr>
        <w:t xml:space="preserve">ėdainių rajono savivaldybės tarybos </w:t>
      </w:r>
      <w:r w:rsidR="00003CA4" w:rsidRPr="00003CA4">
        <w:rPr>
          <w:rFonts w:cs="Tahoma"/>
          <w:bCs/>
          <w:szCs w:val="24"/>
        </w:rPr>
        <w:t xml:space="preserve">2019 m. spalio 25 d. </w:t>
      </w:r>
      <w:r w:rsidR="00003CA4" w:rsidRPr="00003CA4">
        <w:rPr>
          <w:bCs/>
          <w:szCs w:val="24"/>
        </w:rPr>
        <w:t xml:space="preserve">sprendimo </w:t>
      </w:r>
      <w:r w:rsidR="00003CA4">
        <w:rPr>
          <w:bCs/>
          <w:szCs w:val="24"/>
        </w:rPr>
        <w:t>N</w:t>
      </w:r>
      <w:r w:rsidR="00003CA4" w:rsidRPr="00003CA4">
        <w:rPr>
          <w:rFonts w:cs="Tahoma"/>
          <w:bCs/>
          <w:szCs w:val="24"/>
        </w:rPr>
        <w:t xml:space="preserve">r. </w:t>
      </w:r>
      <w:r w:rsidR="00003CA4">
        <w:rPr>
          <w:rFonts w:cs="Tahoma"/>
          <w:bCs/>
          <w:szCs w:val="24"/>
        </w:rPr>
        <w:t>TS</w:t>
      </w:r>
      <w:r w:rsidR="00003CA4" w:rsidRPr="00003CA4">
        <w:rPr>
          <w:rFonts w:cs="Tahoma"/>
          <w:bCs/>
          <w:szCs w:val="24"/>
        </w:rPr>
        <w:t xml:space="preserve">-239 </w:t>
      </w:r>
      <w:r w:rsidR="00003CA4" w:rsidRPr="00003CA4">
        <w:rPr>
          <w:bCs/>
          <w:szCs w:val="24"/>
        </w:rPr>
        <w:t>„</w:t>
      </w:r>
      <w:r w:rsidR="00003CA4">
        <w:rPr>
          <w:bCs/>
          <w:szCs w:val="24"/>
        </w:rPr>
        <w:t>D</w:t>
      </w:r>
      <w:r w:rsidR="00003CA4" w:rsidRPr="00003CA4">
        <w:rPr>
          <w:bCs/>
          <w:szCs w:val="24"/>
        </w:rPr>
        <w:t xml:space="preserve">ėl  </w:t>
      </w:r>
      <w:r w:rsidR="00003CA4">
        <w:rPr>
          <w:bCs/>
          <w:szCs w:val="24"/>
        </w:rPr>
        <w:t>K</w:t>
      </w:r>
      <w:r w:rsidR="00003CA4" w:rsidRPr="00003CA4">
        <w:rPr>
          <w:bCs/>
          <w:szCs w:val="24"/>
        </w:rPr>
        <w:t>ėdainių rajono savivaldybei nuosavybės teise priklausančio ilgalaikio materialiojo turto viešo nuomos konkurso ir nuomos be konkurso organizavimo ir vykdymo tvarkos aprašo patvirtinimo“ pakeitimo</w:t>
      </w:r>
      <w:r w:rsidR="00694FAA" w:rsidRPr="00694FAA">
        <w:rPr>
          <w:bCs/>
          <w:color w:val="000000"/>
        </w:rPr>
        <w:t>“.</w:t>
      </w:r>
    </w:p>
    <w:p w:rsidR="00F45FB2" w:rsidRPr="00185A31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2E7F66">
        <w:rPr>
          <w:szCs w:val="24"/>
        </w:rPr>
        <w:t xml:space="preserve"> Audronė Naujalienė</w:t>
      </w:r>
      <w:r>
        <w:rPr>
          <w:szCs w:val="24"/>
        </w:rPr>
        <w:t>.</w:t>
      </w:r>
    </w:p>
    <w:p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:rsidR="00F45FB2" w:rsidRPr="007C5AF9" w:rsidRDefault="00F45FB2" w:rsidP="00F45FB2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F45FB2" w:rsidRPr="007C5AF9" w:rsidTr="00683CB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B06F76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5FB2" w:rsidRPr="00683CB4" w:rsidRDefault="00A54DDA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D3A5A" w:rsidP="004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akto punktų pakeitimas nenustato</w:t>
            </w:r>
            <w:r w:rsidR="00CD62A3">
              <w:rPr>
                <w:sz w:val="22"/>
                <w:szCs w:val="22"/>
              </w:rPr>
              <w:t>, viešinama</w:t>
            </w:r>
            <w:r w:rsidR="004C7319" w:rsidRPr="00683CB4">
              <w:rPr>
                <w:sz w:val="22"/>
                <w:szCs w:val="22"/>
              </w:rPr>
              <w:t xml:space="preserve">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Neaktualu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4C7319" w:rsidRPr="00683CB4" w:rsidRDefault="004C7319" w:rsidP="004C731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:rsidR="004C7319" w:rsidRPr="00683CB4" w:rsidRDefault="004C7319" w:rsidP="004C7319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:rsidR="004C7319" w:rsidRPr="00683CB4" w:rsidRDefault="004C7319" w:rsidP="004C7319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255404" w:rsidRDefault="004D3A5A" w:rsidP="004C731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akto punktų pakeitimas nenustato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9947CA" w:rsidRDefault="004C7319" w:rsidP="004C7319">
            <w:r>
              <w:t xml:space="preserve">                         Neaktualu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E91DC0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Atitinka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Neaktualu 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akto punktų pakeitimas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akto punktų pakeitimas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akto punktų pakeitimas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5E1D43" w:rsidRDefault="00694FAA" w:rsidP="004C7319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akto punkto pakeitimas nenustato</w:t>
            </w:r>
            <w:r w:rsidR="004C7319" w:rsidRPr="00683CB4">
              <w:rPr>
                <w:sz w:val="22"/>
                <w:szCs w:val="22"/>
              </w:rPr>
              <w:t>, vadovaujamasi bendrai nustatyta tvarka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694FAA" w:rsidP="004C73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Teisės akto punkto pakeitimas nenustato</w:t>
            </w:r>
            <w:r w:rsidR="004C7319" w:rsidRPr="00683CB4">
              <w:rPr>
                <w:sz w:val="22"/>
                <w:szCs w:val="22"/>
              </w:rPr>
              <w:t xml:space="preserve">, vadovaujamasi </w:t>
            </w:r>
            <w:r w:rsidR="004C7319">
              <w:rPr>
                <w:sz w:val="22"/>
                <w:szCs w:val="22"/>
              </w:rPr>
              <w:t>Administracinių nusižengimų kodekso nuostatomis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4C7319" w:rsidRPr="007C5AF9" w:rsidTr="00683CB4">
        <w:trPr>
          <w:trHeight w:val="23"/>
        </w:trPr>
        <w:tc>
          <w:tcPr>
            <w:tcW w:w="709" w:type="dxa"/>
            <w:shd w:val="clear" w:color="auto" w:fill="auto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7319" w:rsidRPr="00683CB4" w:rsidRDefault="004C7319" w:rsidP="004C7319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:rsidR="004C7319" w:rsidRPr="00683CB4" w:rsidRDefault="004C7319" w:rsidP="004C731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57"/>
        <w:gridCol w:w="4773"/>
        <w:gridCol w:w="2434"/>
        <w:gridCol w:w="4946"/>
      </w:tblGrid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  <w:p w:rsidR="002E7F66" w:rsidRDefault="002E7F66" w:rsidP="005B0843">
            <w:pPr>
              <w:rPr>
                <w:sz w:val="22"/>
                <w:szCs w:val="22"/>
              </w:rPr>
            </w:pPr>
          </w:p>
          <w:p w:rsidR="00F45FB2" w:rsidRPr="00683CB4" w:rsidRDefault="005B0843" w:rsidP="005B0843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Skyriaus vedėja</w:t>
            </w:r>
            <w:r w:rsidR="00F45FB2" w:rsidRPr="00683CB4">
              <w:rPr>
                <w:sz w:val="22"/>
                <w:szCs w:val="22"/>
              </w:rPr>
              <w:t xml:space="preserve">          </w:t>
            </w:r>
            <w:r w:rsidR="002E7F66">
              <w:rPr>
                <w:sz w:val="22"/>
                <w:szCs w:val="22"/>
              </w:rPr>
              <w:t>Audronė Naujalienė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:rsidR="002E7F66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</w:t>
            </w:r>
          </w:p>
          <w:p w:rsidR="00F45FB2" w:rsidRPr="00683CB4" w:rsidRDefault="00C52011" w:rsidP="007355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mentorius</w:t>
            </w:r>
            <w:r w:rsidR="00F45FB2" w:rsidRPr="00683CB4">
              <w:rPr>
                <w:sz w:val="22"/>
                <w:szCs w:val="22"/>
              </w:rPr>
              <w:t xml:space="preserve">            Stasys Okunevičius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F45FB2" w:rsidRPr="00683CB4" w:rsidRDefault="00412358" w:rsidP="00683CB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20</w:t>
            </w:r>
            <w:r w:rsidR="00C52011">
              <w:rPr>
                <w:sz w:val="22"/>
                <w:szCs w:val="22"/>
              </w:rPr>
              <w:t>2</w:t>
            </w:r>
            <w:r w:rsidR="00E91DC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r w:rsidR="00003CA4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-</w:t>
            </w:r>
            <w:r w:rsidR="00003CA4">
              <w:rPr>
                <w:sz w:val="22"/>
                <w:szCs w:val="22"/>
              </w:rPr>
              <w:t>15</w:t>
            </w:r>
          </w:p>
        </w:tc>
      </w:tr>
      <w:tr w:rsidR="00F45FB2" w:rsidRPr="007C5AF9" w:rsidTr="00683CB4">
        <w:trPr>
          <w:trHeight w:val="23"/>
        </w:trPr>
        <w:tc>
          <w:tcPr>
            <w:tcW w:w="2457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773" w:type="dxa"/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:rsidR="000D3CA8" w:rsidRDefault="000D3CA8"/>
    <w:sectPr w:rsidR="000D3CA8" w:rsidSect="007355F9">
      <w:headerReference w:type="even" r:id="rId6"/>
      <w:headerReference w:type="default" r:id="rId7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A89" w:rsidRDefault="00936A89" w:rsidP="00F45FB2">
      <w:r>
        <w:separator/>
      </w:r>
    </w:p>
  </w:endnote>
  <w:endnote w:type="continuationSeparator" w:id="0">
    <w:p w:rsidR="00936A89" w:rsidRDefault="00936A89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A89" w:rsidRDefault="00936A89" w:rsidP="00F45FB2">
      <w:r>
        <w:separator/>
      </w:r>
    </w:p>
  </w:footnote>
  <w:footnote w:type="continuationSeparator" w:id="0">
    <w:p w:rsidR="00936A89" w:rsidRDefault="00936A89" w:rsidP="00F45FB2">
      <w:r>
        <w:continuationSeparator/>
      </w:r>
    </w:p>
  </w:footnote>
  <w:footnote w:id="1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</w:t>
      </w:r>
      <w:r>
        <w:t>Tas pat.</w:t>
      </w:r>
    </w:p>
  </w:footnote>
  <w:footnote w:id="3">
    <w:p w:rsidR="004C7319" w:rsidRPr="008E4C80" w:rsidRDefault="004C7319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68EE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7355F9" w:rsidRDefault="007355F9">
    <w:pPr>
      <w:pStyle w:val="Antrats"/>
    </w:pPr>
  </w:p>
  <w:p w:rsidR="007355F9" w:rsidRDefault="007355F9" w:rsidP="007355F9">
    <w:pPr>
      <w:pStyle w:val="Antrats"/>
      <w:jc w:val="center"/>
    </w:pPr>
  </w:p>
  <w:p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grammar="clean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03CA4"/>
    <w:rsid w:val="0001735B"/>
    <w:rsid w:val="00022827"/>
    <w:rsid w:val="00024ABF"/>
    <w:rsid w:val="000267EF"/>
    <w:rsid w:val="00037178"/>
    <w:rsid w:val="0005454A"/>
    <w:rsid w:val="00064356"/>
    <w:rsid w:val="000D3CA8"/>
    <w:rsid w:val="0010136D"/>
    <w:rsid w:val="001316BF"/>
    <w:rsid w:val="00152031"/>
    <w:rsid w:val="00196654"/>
    <w:rsid w:val="001C5214"/>
    <w:rsid w:val="001E7C90"/>
    <w:rsid w:val="002020E8"/>
    <w:rsid w:val="00241DF9"/>
    <w:rsid w:val="00255404"/>
    <w:rsid w:val="00266D76"/>
    <w:rsid w:val="00272667"/>
    <w:rsid w:val="00273F42"/>
    <w:rsid w:val="002744EB"/>
    <w:rsid w:val="00281153"/>
    <w:rsid w:val="002B071F"/>
    <w:rsid w:val="002B2CCE"/>
    <w:rsid w:val="002D16B2"/>
    <w:rsid w:val="002E7F66"/>
    <w:rsid w:val="00313C0C"/>
    <w:rsid w:val="00327408"/>
    <w:rsid w:val="00354946"/>
    <w:rsid w:val="0037363E"/>
    <w:rsid w:val="0039297A"/>
    <w:rsid w:val="003C6A91"/>
    <w:rsid w:val="003D6810"/>
    <w:rsid w:val="003E35A0"/>
    <w:rsid w:val="00412358"/>
    <w:rsid w:val="00482A62"/>
    <w:rsid w:val="004C0247"/>
    <w:rsid w:val="004C7319"/>
    <w:rsid w:val="004D3546"/>
    <w:rsid w:val="004D3A5A"/>
    <w:rsid w:val="004D3F1C"/>
    <w:rsid w:val="005211A2"/>
    <w:rsid w:val="0057288E"/>
    <w:rsid w:val="00593A12"/>
    <w:rsid w:val="005A4DEC"/>
    <w:rsid w:val="005B0843"/>
    <w:rsid w:val="005C68EE"/>
    <w:rsid w:val="005C7935"/>
    <w:rsid w:val="005E1D43"/>
    <w:rsid w:val="005E3556"/>
    <w:rsid w:val="005E6983"/>
    <w:rsid w:val="005F3C6A"/>
    <w:rsid w:val="00637FBB"/>
    <w:rsid w:val="00640432"/>
    <w:rsid w:val="006451F9"/>
    <w:rsid w:val="00683CB4"/>
    <w:rsid w:val="00694FAA"/>
    <w:rsid w:val="00695665"/>
    <w:rsid w:val="006B4320"/>
    <w:rsid w:val="00715087"/>
    <w:rsid w:val="007355F9"/>
    <w:rsid w:val="00772F4D"/>
    <w:rsid w:val="00796366"/>
    <w:rsid w:val="007F6ABD"/>
    <w:rsid w:val="00803612"/>
    <w:rsid w:val="00803821"/>
    <w:rsid w:val="00841AE2"/>
    <w:rsid w:val="00882F61"/>
    <w:rsid w:val="00885B5F"/>
    <w:rsid w:val="00903A4C"/>
    <w:rsid w:val="009079F3"/>
    <w:rsid w:val="00936A89"/>
    <w:rsid w:val="009947CA"/>
    <w:rsid w:val="009A585B"/>
    <w:rsid w:val="009B5A02"/>
    <w:rsid w:val="009D7127"/>
    <w:rsid w:val="00A54DDA"/>
    <w:rsid w:val="00A5791F"/>
    <w:rsid w:val="00A642EC"/>
    <w:rsid w:val="00B06F76"/>
    <w:rsid w:val="00B11213"/>
    <w:rsid w:val="00B22EA4"/>
    <w:rsid w:val="00B2508F"/>
    <w:rsid w:val="00B86C22"/>
    <w:rsid w:val="00BD2147"/>
    <w:rsid w:val="00BD619B"/>
    <w:rsid w:val="00C40DEB"/>
    <w:rsid w:val="00C52011"/>
    <w:rsid w:val="00C90DDD"/>
    <w:rsid w:val="00CD5BDE"/>
    <w:rsid w:val="00CD62A3"/>
    <w:rsid w:val="00CE07EA"/>
    <w:rsid w:val="00D177ED"/>
    <w:rsid w:val="00D300B0"/>
    <w:rsid w:val="00D91C1F"/>
    <w:rsid w:val="00DB5780"/>
    <w:rsid w:val="00DD393C"/>
    <w:rsid w:val="00E03743"/>
    <w:rsid w:val="00E03F0A"/>
    <w:rsid w:val="00E27831"/>
    <w:rsid w:val="00E34495"/>
    <w:rsid w:val="00E51EA2"/>
    <w:rsid w:val="00E63C80"/>
    <w:rsid w:val="00E71AB8"/>
    <w:rsid w:val="00E91DC0"/>
    <w:rsid w:val="00EC3517"/>
    <w:rsid w:val="00EC67BD"/>
    <w:rsid w:val="00ED2DC0"/>
    <w:rsid w:val="00EE77F4"/>
    <w:rsid w:val="00F0415B"/>
    <w:rsid w:val="00F316BC"/>
    <w:rsid w:val="00F41EC5"/>
    <w:rsid w:val="00F43DEA"/>
    <w:rsid w:val="00F45FB2"/>
    <w:rsid w:val="00F732A8"/>
    <w:rsid w:val="00FC5133"/>
    <w:rsid w:val="00FC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D939B-69AB-4F97-AFF4-A3BB8203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803612"/>
    <w:pPr>
      <w:keepNext/>
      <w:outlineLvl w:val="0"/>
    </w:pPr>
    <w:rPr>
      <w:b/>
      <w:sz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803612"/>
    <w:rPr>
      <w:rFonts w:ascii="Times New Roman" w:eastAsia="Times New Roman" w:hAnsi="Times New Roman"/>
      <w:b/>
      <w:sz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dcterms:created xsi:type="dcterms:W3CDTF">2021-11-17T11:26:00Z</dcterms:created>
  <dcterms:modified xsi:type="dcterms:W3CDTF">2021-11-17T11:26:00Z</dcterms:modified>
</cp:coreProperties>
</file>