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BD9" w:rsidRPr="00F87449" w:rsidRDefault="005F4BD9" w:rsidP="00032429">
      <w:pPr>
        <w:pStyle w:val="Paantrat"/>
      </w:pPr>
      <w:r>
        <w:tab/>
      </w:r>
      <w:r>
        <w:tab/>
      </w:r>
      <w:r>
        <w:tab/>
      </w:r>
      <w:r>
        <w:tab/>
      </w:r>
      <w:r>
        <w:tab/>
      </w:r>
      <w:r>
        <w:tab/>
      </w:r>
      <w:r>
        <w:tab/>
      </w:r>
      <w:r>
        <w:tab/>
      </w:r>
      <w:r>
        <w:tab/>
      </w:r>
      <w:r>
        <w:tab/>
      </w:r>
      <w:r w:rsidRPr="00F87449">
        <w:t>Projektas</w:t>
      </w:r>
    </w:p>
    <w:p w:rsidR="005F4BD9" w:rsidRDefault="005F4BD9" w:rsidP="005F4BD9">
      <w:pPr>
        <w:ind w:left="3600" w:firstLine="720"/>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6" o:title=""/>
          </v:shape>
          <o:OLEObject Type="Embed" ProgID="Imaging.Document" ShapeID="_x0000_i1025" DrawAspect="Content" ObjectID="_1705918059" r:id="rId7"/>
        </w:object>
      </w:r>
    </w:p>
    <w:p w:rsidR="005F4BD9" w:rsidRDefault="005F4BD9" w:rsidP="005F4BD9">
      <w:pPr>
        <w:ind w:left="720"/>
        <w:jc w:val="center"/>
      </w:pPr>
      <w:r>
        <w:tab/>
      </w:r>
    </w:p>
    <w:p w:rsidR="005F4BD9" w:rsidRDefault="005F4BD9" w:rsidP="005F4BD9">
      <w:pPr>
        <w:pStyle w:val="Paantrat"/>
        <w:rPr>
          <w:szCs w:val="24"/>
        </w:rPr>
      </w:pPr>
      <w:r>
        <w:rPr>
          <w:szCs w:val="24"/>
        </w:rPr>
        <w:t>KĖDAINIŲ RAJONO SAVIVALDYBĖS TARYBA</w:t>
      </w:r>
    </w:p>
    <w:p w:rsidR="005F4BD9" w:rsidRDefault="005F4BD9" w:rsidP="005F4BD9">
      <w:pPr>
        <w:jc w:val="center"/>
        <w:rPr>
          <w:b/>
        </w:rPr>
      </w:pPr>
    </w:p>
    <w:p w:rsidR="005F4BD9" w:rsidRDefault="005F4BD9" w:rsidP="005F4BD9">
      <w:pPr>
        <w:jc w:val="center"/>
        <w:rPr>
          <w:b/>
        </w:rPr>
      </w:pPr>
      <w:r>
        <w:rPr>
          <w:b/>
        </w:rPr>
        <w:t>SPRENDIMAS</w:t>
      </w:r>
    </w:p>
    <w:p w:rsidR="005F4BD9" w:rsidRDefault="005F4BD9" w:rsidP="005F4BD9">
      <w:pPr>
        <w:jc w:val="center"/>
        <w:rPr>
          <w:b/>
          <w:color w:val="000000"/>
        </w:rPr>
      </w:pPr>
      <w:r>
        <w:rPr>
          <w:b/>
        </w:rPr>
        <w:t xml:space="preserve">DĖL </w:t>
      </w:r>
      <w:r w:rsidRPr="006B0FBF">
        <w:rPr>
          <w:b/>
        </w:rPr>
        <w:t>KĖDAINIŲ RAJONO SAVIVALDYBĖS 20</w:t>
      </w:r>
      <w:r w:rsidR="00561308">
        <w:rPr>
          <w:b/>
        </w:rPr>
        <w:t>2</w:t>
      </w:r>
      <w:r w:rsidR="00FC41ED">
        <w:rPr>
          <w:b/>
        </w:rPr>
        <w:t>2</w:t>
      </w:r>
      <w:r w:rsidRPr="006B0FBF">
        <w:rPr>
          <w:b/>
        </w:rPr>
        <w:t>–20</w:t>
      </w:r>
      <w:r w:rsidR="00152863">
        <w:rPr>
          <w:b/>
        </w:rPr>
        <w:t>2</w:t>
      </w:r>
      <w:r w:rsidR="00FC41ED">
        <w:rPr>
          <w:b/>
        </w:rPr>
        <w:t>4</w:t>
      </w:r>
      <w:r w:rsidRPr="006B0FBF">
        <w:rPr>
          <w:b/>
        </w:rPr>
        <w:t xml:space="preserve"> METŲ STRATEGIN</w:t>
      </w:r>
      <w:r>
        <w:rPr>
          <w:b/>
        </w:rPr>
        <w:t>IO</w:t>
      </w:r>
      <w:r w:rsidRPr="006B0FBF">
        <w:rPr>
          <w:b/>
        </w:rPr>
        <w:t xml:space="preserve"> VEIKLOS PLAN</w:t>
      </w:r>
      <w:r>
        <w:rPr>
          <w:b/>
        </w:rPr>
        <w:t>O TVIRTINIMO</w:t>
      </w:r>
    </w:p>
    <w:p w:rsidR="005F4BD9" w:rsidRDefault="005F4BD9" w:rsidP="005F4BD9">
      <w:pPr>
        <w:jc w:val="center"/>
      </w:pPr>
    </w:p>
    <w:p w:rsidR="005F4BD9" w:rsidRDefault="005F4BD9" w:rsidP="005F4BD9">
      <w:pPr>
        <w:jc w:val="center"/>
      </w:pPr>
      <w:r>
        <w:t>20</w:t>
      </w:r>
      <w:r w:rsidR="006367AC">
        <w:t>2</w:t>
      </w:r>
      <w:r w:rsidR="00FC41ED">
        <w:t>2</w:t>
      </w:r>
      <w:r w:rsidR="00D4220D">
        <w:t xml:space="preserve"> m. </w:t>
      </w:r>
      <w:r w:rsidR="00FC41ED">
        <w:t>vasario</w:t>
      </w:r>
      <w:r w:rsidR="00B96B77">
        <w:t xml:space="preserve"> </w:t>
      </w:r>
      <w:r w:rsidR="000C0492">
        <w:t>9</w:t>
      </w:r>
      <w:r>
        <w:t xml:space="preserve"> d. Nr. SP-</w:t>
      </w:r>
      <w:r w:rsidR="00687E54">
        <w:t>2</w:t>
      </w:r>
      <w:bookmarkStart w:id="0" w:name="_GoBack"/>
      <w:bookmarkEnd w:id="0"/>
      <w:r>
        <w:t xml:space="preserve"> </w:t>
      </w:r>
    </w:p>
    <w:p w:rsidR="005F4BD9" w:rsidRDefault="005F4BD9" w:rsidP="005F4BD9">
      <w:pPr>
        <w:jc w:val="center"/>
      </w:pPr>
      <w:r>
        <w:t>Kėdainiai</w:t>
      </w:r>
    </w:p>
    <w:p w:rsidR="005F4BD9" w:rsidRDefault="005F4BD9" w:rsidP="005F4BD9">
      <w:pPr>
        <w:jc w:val="center"/>
      </w:pPr>
    </w:p>
    <w:p w:rsidR="005F4BD9" w:rsidRDefault="005F4BD9" w:rsidP="00F93803">
      <w:pPr>
        <w:ind w:firstLine="720"/>
        <w:jc w:val="both"/>
      </w:pPr>
      <w:r w:rsidRPr="006E71D4">
        <w:t>Vadovaudamasi Lietuvos Respublikos vietos savivaldos</w:t>
      </w:r>
      <w:r>
        <w:t xml:space="preserve"> įstatymo 6 straipsnio 22 punktu,</w:t>
      </w:r>
      <w:r w:rsidR="005305A5">
        <w:t xml:space="preserve"> </w:t>
      </w:r>
      <w:r w:rsidR="005305A5" w:rsidRPr="00006B73">
        <w:t>10</w:t>
      </w:r>
      <w:r w:rsidR="005305A5" w:rsidRPr="00006B73">
        <w:rPr>
          <w:vertAlign w:val="superscript"/>
        </w:rPr>
        <w:t>3</w:t>
      </w:r>
      <w:r w:rsidR="005305A5" w:rsidRPr="00006B73">
        <w:t xml:space="preserve"> straipsniu,</w:t>
      </w:r>
      <w:r w:rsidRPr="00006B73">
        <w:t xml:space="preserve"> 16 straipsnio 2 dalies 40 punktu, 18 straipsnio 1 dalimi, įgyvendindama</w:t>
      </w:r>
      <w:r w:rsidR="00893EEC" w:rsidRPr="00006B73">
        <w:t xml:space="preserve"> Kėdainių rajono savivaldybės tarybos 201</w:t>
      </w:r>
      <w:r w:rsidR="00006B73" w:rsidRPr="00006B73">
        <w:t>9</w:t>
      </w:r>
      <w:r w:rsidR="00893EEC" w:rsidRPr="00006B73">
        <w:t xml:space="preserve"> m. </w:t>
      </w:r>
      <w:r w:rsidR="00006B73" w:rsidRPr="00006B73">
        <w:t>spalio 25</w:t>
      </w:r>
      <w:r w:rsidR="00893EEC" w:rsidRPr="00006B73">
        <w:t xml:space="preserve"> d. sprendimą Nr. TS-</w:t>
      </w:r>
      <w:r w:rsidR="00006B73" w:rsidRPr="00006B73">
        <w:t>217</w:t>
      </w:r>
      <w:r w:rsidR="00893EEC" w:rsidRPr="00006B73">
        <w:t xml:space="preserve"> „Dėl Kėdainių rajono strateginio plėtros plano iki 20</w:t>
      </w:r>
      <w:r w:rsidR="00006B73">
        <w:t>3</w:t>
      </w:r>
      <w:r w:rsidR="00893EEC" w:rsidRPr="00006B73">
        <w:t xml:space="preserve">0 metų patvirtinimo“ ir </w:t>
      </w:r>
      <w:r w:rsidR="005305A5" w:rsidRPr="00006B73">
        <w:t xml:space="preserve">Kėdainių rajono savivaldybės tarybos </w:t>
      </w:r>
      <w:r w:rsidR="00893EEC" w:rsidRPr="00006B73">
        <w:t>2015 m. liepos 3</w:t>
      </w:r>
      <w:r w:rsidR="00893EEC">
        <w:t xml:space="preserve"> d. sprendim</w:t>
      </w:r>
      <w:r w:rsidR="00D4220D">
        <w:t>ą</w:t>
      </w:r>
      <w:r w:rsidR="00893EEC">
        <w:t xml:space="preserve"> Nr.</w:t>
      </w:r>
      <w:r w:rsidR="005305A5">
        <w:t xml:space="preserve"> </w:t>
      </w:r>
      <w:r w:rsidR="00893EEC">
        <w:t xml:space="preserve">TS-168 </w:t>
      </w:r>
      <w:r>
        <w:t xml:space="preserve">„Dėl </w:t>
      </w:r>
      <w:r w:rsidR="005305A5">
        <w:t>S</w:t>
      </w:r>
      <w:r w:rsidR="00893EEC">
        <w:t>trateginio planavimo Kėdainių rajono savivaldybėje organizavimo tvarkos aprašo patvirtinimo</w:t>
      </w:r>
      <w:r>
        <w:t>“</w:t>
      </w:r>
      <w:r w:rsidR="005305A5">
        <w:t>,</w:t>
      </w:r>
      <w:r>
        <w:t xml:space="preserve"> </w:t>
      </w:r>
      <w:r w:rsidRPr="006E71D4">
        <w:t>Kėdainių rajono</w:t>
      </w:r>
      <w:r>
        <w:t xml:space="preserve"> savivaldybės</w:t>
      </w:r>
      <w:r w:rsidRPr="006E71D4">
        <w:t xml:space="preserve"> ta</w:t>
      </w:r>
      <w:r>
        <w:t xml:space="preserve">ryba  </w:t>
      </w:r>
      <w:r w:rsidRPr="00D864AD">
        <w:rPr>
          <w:spacing w:val="40"/>
        </w:rPr>
        <w:t>nusprendžia</w:t>
      </w:r>
      <w:r>
        <w:rPr>
          <w:spacing w:val="40"/>
        </w:rPr>
        <w:t>:</w:t>
      </w:r>
    </w:p>
    <w:p w:rsidR="00C05C22" w:rsidRPr="00C05C22" w:rsidRDefault="00C05C22" w:rsidP="00C05C22">
      <w:pPr>
        <w:pStyle w:val="Textbeitrauku"/>
        <w:numPr>
          <w:ilvl w:val="0"/>
          <w:numId w:val="6"/>
        </w:numPr>
        <w:tabs>
          <w:tab w:val="left" w:pos="993"/>
          <w:tab w:val="left" w:pos="1276"/>
        </w:tabs>
        <w:ind w:left="0" w:firstLine="720"/>
        <w:rPr>
          <w:szCs w:val="24"/>
        </w:rPr>
      </w:pPr>
      <w:r w:rsidRPr="00C05C22">
        <w:t>Patvirtinti Kėdainių rajono savivaldybės 20</w:t>
      </w:r>
      <w:r w:rsidR="00006B73">
        <w:t>2</w:t>
      </w:r>
      <w:r w:rsidR="00FC41ED">
        <w:t>2</w:t>
      </w:r>
      <w:r w:rsidRPr="00C05C22">
        <w:t>–20</w:t>
      </w:r>
      <w:r w:rsidR="00152863">
        <w:t>2</w:t>
      </w:r>
      <w:r w:rsidR="00FC41ED">
        <w:t>4</w:t>
      </w:r>
      <w:r w:rsidRPr="00C05C22">
        <w:t xml:space="preserve"> metų strateginį veiklos planą (pridedama).</w:t>
      </w:r>
    </w:p>
    <w:p w:rsidR="00C05C22" w:rsidRDefault="00C05C22" w:rsidP="00C05C22">
      <w:pPr>
        <w:pStyle w:val="Textbeitrauku"/>
        <w:numPr>
          <w:ilvl w:val="0"/>
          <w:numId w:val="6"/>
        </w:numPr>
        <w:tabs>
          <w:tab w:val="left" w:pos="993"/>
          <w:tab w:val="left" w:pos="1276"/>
        </w:tabs>
        <w:ind w:left="0" w:firstLine="720"/>
      </w:pPr>
      <w:r w:rsidRPr="00C05C22">
        <w:t>Pripažinti netekusiu galios Kėdainių rajono savivaldybės tarybos 20</w:t>
      </w:r>
      <w:r w:rsidR="00FC41ED">
        <w:t xml:space="preserve">20 </w:t>
      </w:r>
      <w:r w:rsidRPr="00C05C22">
        <w:t xml:space="preserve">m. </w:t>
      </w:r>
      <w:r w:rsidR="006367AC">
        <w:t>gruodžio</w:t>
      </w:r>
      <w:r w:rsidR="00006B73">
        <w:t xml:space="preserve"> </w:t>
      </w:r>
      <w:r w:rsidR="00FC41ED">
        <w:t>18</w:t>
      </w:r>
      <w:r w:rsidR="00006B73">
        <w:t xml:space="preserve"> </w:t>
      </w:r>
      <w:r w:rsidRPr="00C05C22">
        <w:t>d. sprendimą</w:t>
      </w:r>
      <w:r>
        <w:t xml:space="preserve"> Nr. TS-</w:t>
      </w:r>
      <w:r w:rsidR="00006B73">
        <w:t>2</w:t>
      </w:r>
      <w:r w:rsidR="00FC41ED">
        <w:t xml:space="preserve">87 </w:t>
      </w:r>
      <w:r>
        <w:t>„Dėl Kėdainių rajono savivaldybės 20</w:t>
      </w:r>
      <w:r w:rsidR="006367AC">
        <w:t>2</w:t>
      </w:r>
      <w:r w:rsidR="00FC41ED">
        <w:t>1</w:t>
      </w:r>
      <w:r>
        <w:t>–20</w:t>
      </w:r>
      <w:r w:rsidR="00B34B36">
        <w:t>2</w:t>
      </w:r>
      <w:r w:rsidR="00FC41ED">
        <w:t>3</w:t>
      </w:r>
      <w:r>
        <w:t xml:space="preserve"> metų strateginio veiklos plano tvirtinimo“ su visais pakeitimais ir papildymai</w:t>
      </w:r>
      <w:r w:rsidR="00280449">
        <w:t>s.</w:t>
      </w:r>
    </w:p>
    <w:p w:rsidR="005F4BD9" w:rsidRDefault="005F4BD9" w:rsidP="005F4BD9">
      <w:pPr>
        <w:pStyle w:val="Textbeitrauku"/>
      </w:pPr>
    </w:p>
    <w:p w:rsidR="005F4BD9" w:rsidRDefault="005F4BD9" w:rsidP="005F4BD9">
      <w:pPr>
        <w:pStyle w:val="Textbeitrauku"/>
      </w:pPr>
    </w:p>
    <w:p w:rsidR="005F4BD9" w:rsidRDefault="005F4BD9" w:rsidP="005F4BD9">
      <w:pPr>
        <w:pStyle w:val="Textbeitrauku"/>
      </w:pPr>
    </w:p>
    <w:p w:rsidR="005F4BD9" w:rsidRDefault="005F4BD9" w:rsidP="005F4BD9">
      <w:pPr>
        <w:jc w:val="both"/>
      </w:pPr>
      <w:r>
        <w:t>Savivaldybės meras</w:t>
      </w:r>
      <w:r>
        <w:tab/>
      </w:r>
      <w:r>
        <w:tab/>
      </w:r>
      <w:r>
        <w:tab/>
      </w:r>
      <w:r>
        <w:tab/>
      </w:r>
      <w:r>
        <w:tab/>
      </w:r>
      <w:r>
        <w:tab/>
      </w:r>
      <w:r>
        <w:tab/>
      </w:r>
      <w:r>
        <w:tab/>
      </w: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5F4BD9" w:rsidRDefault="005F4BD9" w:rsidP="005F4BD9">
      <w:pPr>
        <w:jc w:val="both"/>
      </w:pPr>
    </w:p>
    <w:p w:rsidR="000547EF" w:rsidRDefault="000547EF" w:rsidP="005F4BD9">
      <w:pPr>
        <w:jc w:val="both"/>
      </w:pPr>
    </w:p>
    <w:p w:rsidR="0025108B" w:rsidRDefault="005F4BD9" w:rsidP="005F4BD9">
      <w:pPr>
        <w:jc w:val="both"/>
      </w:pPr>
      <w:r>
        <w:t>Kristina Kemešienė</w:t>
      </w:r>
      <w:r>
        <w:tab/>
      </w:r>
      <w:r>
        <w:tab/>
      </w:r>
      <w:r w:rsidR="00777C3D">
        <w:t>Arūnas Kacevičius</w:t>
      </w:r>
      <w:r>
        <w:tab/>
      </w:r>
      <w:r>
        <w:tab/>
      </w:r>
      <w:r w:rsidR="007A4702">
        <w:t>Jolanta Sakavičienė</w:t>
      </w:r>
      <w:r w:rsidR="0025108B">
        <w:t xml:space="preserve"> </w:t>
      </w:r>
    </w:p>
    <w:p w:rsidR="0025108B" w:rsidRDefault="0008390B" w:rsidP="005F4BD9">
      <w:pPr>
        <w:jc w:val="both"/>
      </w:pPr>
      <w:r>
        <w:t>20</w:t>
      </w:r>
      <w:r w:rsidR="00777C3D">
        <w:t>2</w:t>
      </w:r>
      <w:r w:rsidR="00FC41ED">
        <w:t>2</w:t>
      </w:r>
      <w:r>
        <w:t>-</w:t>
      </w:r>
      <w:r w:rsidR="00FC41ED">
        <w:t>02</w:t>
      </w:r>
      <w:r w:rsidR="0025108B">
        <w:t>-</w:t>
      </w:r>
      <w:r w:rsidR="0025108B">
        <w:tab/>
      </w:r>
      <w:r w:rsidR="0025108B">
        <w:tab/>
      </w:r>
      <w:r w:rsidR="0025108B">
        <w:tab/>
      </w:r>
      <w:r w:rsidR="00FC41ED">
        <w:t>2022-02-</w:t>
      </w:r>
      <w:r w:rsidR="005305A5">
        <w:tab/>
      </w:r>
      <w:r w:rsidR="005305A5">
        <w:tab/>
      </w:r>
      <w:r w:rsidR="00597244">
        <w:tab/>
      </w:r>
      <w:r w:rsidR="00FC41ED">
        <w:t>2022-02-</w:t>
      </w:r>
    </w:p>
    <w:p w:rsidR="003579CD" w:rsidRDefault="003579CD" w:rsidP="005F4BD9">
      <w:pPr>
        <w:jc w:val="both"/>
      </w:pPr>
    </w:p>
    <w:p w:rsidR="00561308" w:rsidRDefault="00561308" w:rsidP="005F4BD9">
      <w:pPr>
        <w:jc w:val="both"/>
      </w:pPr>
    </w:p>
    <w:p w:rsidR="00561308" w:rsidRDefault="00561308" w:rsidP="005F4BD9">
      <w:pPr>
        <w:jc w:val="both"/>
      </w:pPr>
    </w:p>
    <w:p w:rsidR="005F4BD9" w:rsidRDefault="0025108B" w:rsidP="005F4BD9">
      <w:pPr>
        <w:jc w:val="both"/>
      </w:pPr>
      <w:r>
        <w:t>Rūta Švedienė</w:t>
      </w:r>
      <w:r w:rsidRPr="0025108B">
        <w:t xml:space="preserve"> </w:t>
      </w:r>
      <w:r>
        <w:tab/>
      </w:r>
      <w:r>
        <w:tab/>
      </w:r>
      <w:r w:rsidR="00CD75E9">
        <w:t>Dalius Ramonas</w:t>
      </w:r>
    </w:p>
    <w:p w:rsidR="005F4BD9" w:rsidRDefault="00FC41ED" w:rsidP="005F4BD9">
      <w:pPr>
        <w:jc w:val="both"/>
      </w:pPr>
      <w:r>
        <w:t>2022-02-</w:t>
      </w:r>
      <w:r w:rsidR="005F4BD9">
        <w:tab/>
      </w:r>
      <w:r w:rsidR="0025108B">
        <w:tab/>
      </w:r>
      <w:r w:rsidR="003579CD">
        <w:tab/>
      </w:r>
      <w:r>
        <w:t>2022-02-</w:t>
      </w:r>
      <w:r w:rsidR="0025108B">
        <w:tab/>
      </w:r>
      <w:r w:rsidR="0025108B">
        <w:tab/>
      </w:r>
      <w:r w:rsidR="0025108B">
        <w:tab/>
      </w:r>
    </w:p>
    <w:p w:rsidR="007A4702" w:rsidRDefault="005F4BD9" w:rsidP="000547EF">
      <w:pPr>
        <w:jc w:val="both"/>
      </w:pPr>
      <w:r>
        <w:tab/>
      </w:r>
      <w:r>
        <w:tab/>
      </w:r>
      <w:r w:rsidR="000547EF">
        <w:tab/>
      </w:r>
      <w:r w:rsidR="000547EF">
        <w:tab/>
      </w:r>
      <w:r w:rsidR="000547EF">
        <w:tab/>
      </w:r>
      <w:r w:rsidR="000547EF">
        <w:tab/>
      </w:r>
      <w:r w:rsidR="000547EF">
        <w:tab/>
      </w:r>
    </w:p>
    <w:p w:rsidR="00CA636B" w:rsidRPr="00632467" w:rsidRDefault="00FC41ED" w:rsidP="007448B8">
      <w:pPr>
        <w:jc w:val="both"/>
        <w:rPr>
          <w:kern w:val="1"/>
        </w:rPr>
      </w:pPr>
      <w:r>
        <w:rPr>
          <w:kern w:val="1"/>
        </w:rPr>
        <w:br w:type="page"/>
      </w:r>
      <w:r w:rsidR="00CA636B" w:rsidRPr="00632467">
        <w:rPr>
          <w:kern w:val="1"/>
        </w:rPr>
        <w:lastRenderedPageBreak/>
        <w:t>Kėdainių rajono savivaldybės tarybai</w:t>
      </w:r>
    </w:p>
    <w:p w:rsidR="00CA636B" w:rsidRPr="00632467" w:rsidRDefault="00CA636B" w:rsidP="00CA636B">
      <w:pPr>
        <w:rPr>
          <w:kern w:val="1"/>
        </w:rPr>
      </w:pPr>
    </w:p>
    <w:p w:rsidR="00CA636B" w:rsidRPr="00632467" w:rsidRDefault="00CA636B" w:rsidP="00CA636B">
      <w:pPr>
        <w:jc w:val="center"/>
        <w:rPr>
          <w:b/>
          <w:kern w:val="1"/>
        </w:rPr>
      </w:pPr>
      <w:r w:rsidRPr="00632467">
        <w:rPr>
          <w:b/>
          <w:kern w:val="1"/>
        </w:rPr>
        <w:t>AIŠKINAMASIS RAŠTAS</w:t>
      </w:r>
    </w:p>
    <w:p w:rsidR="00CA636B" w:rsidRPr="003B4E95" w:rsidRDefault="00CA636B" w:rsidP="00CA636B">
      <w:pPr>
        <w:jc w:val="center"/>
        <w:rPr>
          <w:b/>
          <w:sz w:val="10"/>
          <w:szCs w:val="10"/>
        </w:rPr>
      </w:pPr>
    </w:p>
    <w:p w:rsidR="00EB2EB9" w:rsidRDefault="00EB2EB9" w:rsidP="00EB2EB9">
      <w:pPr>
        <w:jc w:val="center"/>
        <w:rPr>
          <w:b/>
          <w:color w:val="000000"/>
        </w:rPr>
      </w:pPr>
      <w:r>
        <w:rPr>
          <w:b/>
        </w:rPr>
        <w:t xml:space="preserve">DĖL </w:t>
      </w:r>
      <w:r w:rsidRPr="006B0FBF">
        <w:rPr>
          <w:b/>
        </w:rPr>
        <w:t>KĖDAINIŲ RAJONO SAVIVALDYBĖS 20</w:t>
      </w:r>
      <w:r>
        <w:rPr>
          <w:b/>
        </w:rPr>
        <w:t>2</w:t>
      </w:r>
      <w:r w:rsidR="003749B3">
        <w:rPr>
          <w:b/>
        </w:rPr>
        <w:t>2</w:t>
      </w:r>
      <w:r w:rsidRPr="006B0FBF">
        <w:rPr>
          <w:b/>
        </w:rPr>
        <w:t>–20</w:t>
      </w:r>
      <w:r>
        <w:rPr>
          <w:b/>
        </w:rPr>
        <w:t>2</w:t>
      </w:r>
      <w:r w:rsidR="003749B3">
        <w:rPr>
          <w:b/>
        </w:rPr>
        <w:t>4</w:t>
      </w:r>
      <w:r w:rsidRPr="006B0FBF">
        <w:rPr>
          <w:b/>
        </w:rPr>
        <w:t xml:space="preserve"> METŲ STRATEGIN</w:t>
      </w:r>
      <w:r>
        <w:rPr>
          <w:b/>
        </w:rPr>
        <w:t>IO</w:t>
      </w:r>
      <w:r w:rsidRPr="006B0FBF">
        <w:rPr>
          <w:b/>
        </w:rPr>
        <w:t xml:space="preserve"> VEIKLOS PLAN</w:t>
      </w:r>
      <w:r>
        <w:rPr>
          <w:b/>
        </w:rPr>
        <w:t>O TVIRTINIMO</w:t>
      </w:r>
    </w:p>
    <w:p w:rsidR="003C0889" w:rsidRDefault="003C0889" w:rsidP="00EB2EB9">
      <w:pPr>
        <w:jc w:val="center"/>
      </w:pPr>
    </w:p>
    <w:p w:rsidR="00EB2EB9" w:rsidRDefault="00EB2EB9" w:rsidP="00EB2EB9">
      <w:pPr>
        <w:jc w:val="center"/>
      </w:pPr>
      <w:r>
        <w:t>202</w:t>
      </w:r>
      <w:r w:rsidR="003749B3">
        <w:t>2</w:t>
      </w:r>
      <w:r>
        <w:t xml:space="preserve"> m. </w:t>
      </w:r>
      <w:r w:rsidR="003749B3">
        <w:t>vasario</w:t>
      </w:r>
      <w:r>
        <w:t xml:space="preserve">  </w:t>
      </w:r>
      <w:r w:rsidR="00AE00C3">
        <w:t xml:space="preserve"> </w:t>
      </w:r>
      <w:r w:rsidR="00DC5163">
        <w:t>7</w:t>
      </w:r>
      <w:r w:rsidR="00AE00C3">
        <w:t xml:space="preserve">  </w:t>
      </w:r>
      <w:r>
        <w:t xml:space="preserve"> d. </w:t>
      </w:r>
    </w:p>
    <w:p w:rsidR="00EB2EB9" w:rsidRDefault="00EB2EB9" w:rsidP="00EB2EB9">
      <w:pPr>
        <w:jc w:val="center"/>
      </w:pPr>
      <w:r>
        <w:t>Kėdainiai</w:t>
      </w:r>
    </w:p>
    <w:p w:rsidR="00EB2EB9" w:rsidRDefault="00EB2EB9" w:rsidP="00EB2EB9">
      <w:pPr>
        <w:jc w:val="center"/>
      </w:pPr>
    </w:p>
    <w:p w:rsidR="00CA636B" w:rsidRPr="003B4E95" w:rsidRDefault="00CA636B" w:rsidP="00CA636B">
      <w:pPr>
        <w:ind w:firstLine="709"/>
        <w:rPr>
          <w:color w:val="FF0000"/>
          <w:kern w:val="1"/>
          <w:sz w:val="10"/>
          <w:szCs w:val="10"/>
        </w:rPr>
      </w:pPr>
    </w:p>
    <w:p w:rsidR="00CA636B" w:rsidRDefault="00CA636B" w:rsidP="00E633A1">
      <w:pPr>
        <w:ind w:firstLine="720"/>
        <w:jc w:val="both"/>
        <w:rPr>
          <w:b/>
          <w:kern w:val="1"/>
        </w:rPr>
      </w:pPr>
      <w:r w:rsidRPr="00632467">
        <w:rPr>
          <w:b/>
          <w:kern w:val="1"/>
        </w:rPr>
        <w:t>Parengto sprendimo projekto tikslai:</w:t>
      </w:r>
    </w:p>
    <w:p w:rsidR="008F71E6" w:rsidRPr="005B2B6D" w:rsidRDefault="00276746" w:rsidP="009557AC">
      <w:pPr>
        <w:ind w:firstLine="720"/>
        <w:jc w:val="both"/>
      </w:pPr>
      <w:r w:rsidRPr="005B2B6D">
        <w:t>Sprendimo projekto tikslas – patvirtinti Kėdainių rajono savivaldybės 20</w:t>
      </w:r>
      <w:r w:rsidR="009817B6">
        <w:t>2</w:t>
      </w:r>
      <w:r w:rsidR="003749B3">
        <w:t>2</w:t>
      </w:r>
      <w:r w:rsidR="00510604" w:rsidRPr="005B2B6D">
        <w:t>–</w:t>
      </w:r>
      <w:r w:rsidRPr="005B2B6D">
        <w:t>20</w:t>
      </w:r>
      <w:r w:rsidR="00ED1E42">
        <w:t>2</w:t>
      </w:r>
      <w:r w:rsidR="003749B3">
        <w:t>4</w:t>
      </w:r>
      <w:r w:rsidRPr="005B2B6D">
        <w:t xml:space="preserve"> metų strateginį veiklos planą</w:t>
      </w:r>
      <w:r w:rsidR="00294FF2">
        <w:t xml:space="preserve">, kuriuo vadovaujantis organizuojama savivaldybės veikla. </w:t>
      </w:r>
    </w:p>
    <w:p w:rsidR="00390B08" w:rsidRPr="00632467" w:rsidRDefault="00390B08" w:rsidP="00390B08">
      <w:pPr>
        <w:spacing w:line="252" w:lineRule="auto"/>
        <w:ind w:firstLine="709"/>
        <w:jc w:val="both"/>
        <w:rPr>
          <w:b/>
          <w:kern w:val="1"/>
        </w:rPr>
      </w:pPr>
      <w:r w:rsidRPr="00632467">
        <w:rPr>
          <w:b/>
          <w:kern w:val="1"/>
        </w:rPr>
        <w:t>Sprendimo projekto esmė</w:t>
      </w:r>
      <w:r w:rsidRPr="00632467">
        <w:rPr>
          <w:kern w:val="1"/>
        </w:rPr>
        <w:t xml:space="preserve">, </w:t>
      </w:r>
      <w:r w:rsidRPr="00632467">
        <w:rPr>
          <w:b/>
          <w:kern w:val="1"/>
        </w:rPr>
        <w:t xml:space="preserve">rengimo priežastys ir motyvai: </w:t>
      </w:r>
    </w:p>
    <w:p w:rsidR="006F1586" w:rsidRDefault="007A157C" w:rsidP="00D66D70">
      <w:pPr>
        <w:ind w:firstLine="720"/>
        <w:jc w:val="both"/>
        <w:rPr>
          <w:lang w:bidi="lo-LA"/>
        </w:rPr>
      </w:pPr>
      <w:r>
        <w:t>Kėdainių rajono s</w:t>
      </w:r>
      <w:r w:rsidR="006F1586" w:rsidRPr="006A04C2">
        <w:t>avivaldybės 20</w:t>
      </w:r>
      <w:r w:rsidR="00375617">
        <w:t>2</w:t>
      </w:r>
      <w:r w:rsidR="003749B3">
        <w:t>2</w:t>
      </w:r>
      <w:r w:rsidR="006F1586" w:rsidRPr="006A04C2">
        <w:t>–20</w:t>
      </w:r>
      <w:r w:rsidR="00B96B77">
        <w:t>2</w:t>
      </w:r>
      <w:r w:rsidR="003749B3">
        <w:t>4</w:t>
      </w:r>
      <w:r w:rsidR="006F1586" w:rsidRPr="006A04C2">
        <w:t xml:space="preserve"> metų strateginis veiklos planas </w:t>
      </w:r>
      <w:r>
        <w:t>(</w:t>
      </w:r>
      <w:r w:rsidRPr="007A157C">
        <w:t xml:space="preserve">toliau – Veiklos </w:t>
      </w:r>
      <w:r w:rsidRPr="00D316F5">
        <w:t xml:space="preserve">planas) – </w:t>
      </w:r>
      <w:r w:rsidRPr="00D316F5">
        <w:rPr>
          <w:rFonts w:cs="Arial Unicode MS"/>
          <w:lang w:bidi="lo-LA"/>
        </w:rPr>
        <w:t>3 metų trukmės strateginio planavimo dokumentas,</w:t>
      </w:r>
      <w:r w:rsidRPr="00D316F5">
        <w:t xml:space="preserve"> </w:t>
      </w:r>
      <w:r w:rsidR="006F1586" w:rsidRPr="00D316F5">
        <w:t>parengtas</w:t>
      </w:r>
      <w:r w:rsidR="006F1586" w:rsidRPr="006A04C2">
        <w:t xml:space="preserve"> </w:t>
      </w:r>
      <w:r w:rsidR="006F1586">
        <w:t>v</w:t>
      </w:r>
      <w:r w:rsidR="0097277A">
        <w:t>adovaujantis</w:t>
      </w:r>
      <w:r w:rsidR="00BF0067">
        <w:t xml:space="preserve"> </w:t>
      </w:r>
      <w:r w:rsidR="00170BF8">
        <w:t>Strateginio planavimo</w:t>
      </w:r>
      <w:r w:rsidR="00BF0067">
        <w:t xml:space="preserve"> tvarkos aprašu, </w:t>
      </w:r>
      <w:r w:rsidR="006F1586">
        <w:t>Kėdainių rajono strateginiu plėtros planu iki 20</w:t>
      </w:r>
      <w:r w:rsidR="00E541AA">
        <w:t>3</w:t>
      </w:r>
      <w:r w:rsidR="006F1586">
        <w:t xml:space="preserve">0 metų, </w:t>
      </w:r>
      <w:r w:rsidR="006F1586">
        <w:rPr>
          <w:lang w:bidi="lo-LA"/>
        </w:rPr>
        <w:t>atsižvelgiant į 20</w:t>
      </w:r>
      <w:r w:rsidR="00EB2EB9">
        <w:rPr>
          <w:lang w:bidi="lo-LA"/>
        </w:rPr>
        <w:t>2</w:t>
      </w:r>
      <w:r w:rsidR="003749B3">
        <w:rPr>
          <w:lang w:bidi="lo-LA"/>
        </w:rPr>
        <w:t>1</w:t>
      </w:r>
      <w:r w:rsidR="00A74390" w:rsidRPr="00D316F5">
        <w:t>–</w:t>
      </w:r>
      <w:r w:rsidR="006F1586">
        <w:rPr>
          <w:lang w:bidi="lo-LA"/>
        </w:rPr>
        <w:t>20</w:t>
      </w:r>
      <w:r w:rsidR="00EB5B38">
        <w:rPr>
          <w:lang w:bidi="lo-LA"/>
        </w:rPr>
        <w:t>2</w:t>
      </w:r>
      <w:r w:rsidR="003749B3">
        <w:rPr>
          <w:lang w:bidi="lo-LA"/>
        </w:rPr>
        <w:t>3</w:t>
      </w:r>
      <w:r w:rsidR="006F1586">
        <w:rPr>
          <w:lang w:bidi="lo-LA"/>
        </w:rPr>
        <w:t xml:space="preserve"> m. strateginio veiklos plano vykdymo rezultatus</w:t>
      </w:r>
      <w:r w:rsidR="006F1586" w:rsidRPr="006A04C2">
        <w:rPr>
          <w:lang w:bidi="lo-LA"/>
        </w:rPr>
        <w:t>,</w:t>
      </w:r>
      <w:r w:rsidR="006F1586">
        <w:rPr>
          <w:lang w:bidi="lo-LA"/>
        </w:rPr>
        <w:t xml:space="preserve"> </w:t>
      </w:r>
      <w:r w:rsidR="006F1586" w:rsidRPr="006A04C2">
        <w:rPr>
          <w:lang w:bidi="lo-LA"/>
        </w:rPr>
        <w:t>gaut</w:t>
      </w:r>
      <w:r w:rsidR="006F1586">
        <w:rPr>
          <w:lang w:bidi="lo-LA"/>
        </w:rPr>
        <w:t>us</w:t>
      </w:r>
      <w:r w:rsidR="006F1586" w:rsidRPr="006A04C2">
        <w:rPr>
          <w:lang w:bidi="lo-LA"/>
        </w:rPr>
        <w:t xml:space="preserve"> gyventojų/juridinių asmenų prašym</w:t>
      </w:r>
      <w:r w:rsidR="006F1586">
        <w:rPr>
          <w:lang w:bidi="lo-LA"/>
        </w:rPr>
        <w:t>us</w:t>
      </w:r>
      <w:r w:rsidR="006F1586" w:rsidRPr="006A04C2">
        <w:rPr>
          <w:lang w:bidi="lo-LA"/>
        </w:rPr>
        <w:t>/pasiūlym</w:t>
      </w:r>
      <w:r w:rsidR="006F1586">
        <w:rPr>
          <w:lang w:bidi="lo-LA"/>
        </w:rPr>
        <w:t>us, Savivaldybės</w:t>
      </w:r>
      <w:r w:rsidR="00EB2EB9">
        <w:rPr>
          <w:lang w:bidi="lo-LA"/>
        </w:rPr>
        <w:t>, valstybės</w:t>
      </w:r>
      <w:r w:rsidR="006F1586">
        <w:rPr>
          <w:lang w:bidi="lo-LA"/>
        </w:rPr>
        <w:t xml:space="preserve"> biudžeto</w:t>
      </w:r>
      <w:r w:rsidR="00EB2EB9">
        <w:rPr>
          <w:lang w:bidi="lo-LA"/>
        </w:rPr>
        <w:t>, E</w:t>
      </w:r>
      <w:r w:rsidR="006F1586">
        <w:rPr>
          <w:lang w:bidi="lo-LA"/>
        </w:rPr>
        <w:t xml:space="preserve">uropos Sąjungos </w:t>
      </w:r>
      <w:r w:rsidR="00EB2EB9">
        <w:rPr>
          <w:lang w:bidi="lo-LA"/>
        </w:rPr>
        <w:t xml:space="preserve">ir kitų fondų </w:t>
      </w:r>
      <w:r w:rsidR="006F1586">
        <w:rPr>
          <w:lang w:bidi="lo-LA"/>
        </w:rPr>
        <w:t>finansavimo galimybes</w:t>
      </w:r>
      <w:r>
        <w:rPr>
          <w:lang w:bidi="lo-LA"/>
        </w:rPr>
        <w:t>.</w:t>
      </w:r>
    </w:p>
    <w:p w:rsidR="00922923" w:rsidRPr="008C059B" w:rsidRDefault="007A157C" w:rsidP="00922923">
      <w:pPr>
        <w:tabs>
          <w:tab w:val="left" w:pos="720"/>
        </w:tabs>
        <w:ind w:firstLine="720"/>
        <w:jc w:val="both"/>
        <w:rPr>
          <w:color w:val="000000"/>
        </w:rPr>
      </w:pPr>
      <w:r>
        <w:t>Veiklos plane</w:t>
      </w:r>
      <w:r w:rsidR="00E633A1">
        <w:rPr>
          <w:color w:val="000000"/>
        </w:rPr>
        <w:t xml:space="preserve"> pateikta</w:t>
      </w:r>
      <w:r w:rsidR="00922923" w:rsidRPr="008C059B">
        <w:rPr>
          <w:color w:val="000000"/>
        </w:rPr>
        <w:t xml:space="preserve"> institucijos misija, </w:t>
      </w:r>
      <w:r>
        <w:rPr>
          <w:color w:val="000000"/>
        </w:rPr>
        <w:t>veiklos</w:t>
      </w:r>
      <w:r w:rsidR="00922923" w:rsidRPr="008C059B">
        <w:rPr>
          <w:color w:val="000000"/>
        </w:rPr>
        <w:t xml:space="preserve"> prioritetai, </w:t>
      </w:r>
      <w:r>
        <w:rPr>
          <w:color w:val="000000"/>
        </w:rPr>
        <w:t xml:space="preserve">strateginiai pokyčiai, </w:t>
      </w:r>
      <w:r w:rsidR="00922923" w:rsidRPr="008C059B">
        <w:rPr>
          <w:color w:val="000000"/>
        </w:rPr>
        <w:t xml:space="preserve">tikslai, uždaviniai ir priemonės, </w:t>
      </w:r>
      <w:r w:rsidR="00922923">
        <w:rPr>
          <w:color w:val="000000"/>
        </w:rPr>
        <w:t>aprašyta 11</w:t>
      </w:r>
      <w:r w:rsidR="00922923" w:rsidRPr="008C059B">
        <w:rPr>
          <w:color w:val="000000"/>
        </w:rPr>
        <w:t xml:space="preserve"> vykdom</w:t>
      </w:r>
      <w:r w:rsidR="00922923">
        <w:rPr>
          <w:color w:val="000000"/>
        </w:rPr>
        <w:t>ų</w:t>
      </w:r>
      <w:r w:rsidR="00922923" w:rsidRPr="008C059B">
        <w:rPr>
          <w:color w:val="000000"/>
        </w:rPr>
        <w:t xml:space="preserve"> program</w:t>
      </w:r>
      <w:r w:rsidR="00922923">
        <w:rPr>
          <w:color w:val="000000"/>
        </w:rPr>
        <w:t>ų</w:t>
      </w:r>
      <w:r w:rsidR="00922923" w:rsidRPr="008C059B">
        <w:rPr>
          <w:color w:val="000000"/>
        </w:rPr>
        <w:t xml:space="preserve"> ir nurod</w:t>
      </w:r>
      <w:r w:rsidR="00922923">
        <w:rPr>
          <w:color w:val="000000"/>
        </w:rPr>
        <w:t>ytos</w:t>
      </w:r>
      <w:r w:rsidR="00922923" w:rsidRPr="008C059B">
        <w:rPr>
          <w:color w:val="000000"/>
        </w:rPr>
        <w:t xml:space="preserve"> </w:t>
      </w:r>
      <w:r w:rsidR="00E633A1">
        <w:rPr>
          <w:color w:val="000000"/>
        </w:rPr>
        <w:t xml:space="preserve">planuojamos </w:t>
      </w:r>
      <w:r w:rsidR="00922923" w:rsidRPr="008C059B">
        <w:rPr>
          <w:color w:val="000000"/>
        </w:rPr>
        <w:t xml:space="preserve">lėšos joms įgyvendinti, </w:t>
      </w:r>
      <w:r w:rsidR="00922923" w:rsidRPr="008C059B">
        <w:t>numatomi vertinimo kriterijai programose numatytų priemonių įgyvendinimo stebėsenai vykdyti</w:t>
      </w:r>
      <w:r w:rsidR="00922923">
        <w:t>.</w:t>
      </w:r>
    </w:p>
    <w:p w:rsidR="008F71E6" w:rsidRDefault="00544CE3" w:rsidP="00922923">
      <w:pPr>
        <w:ind w:firstLine="720"/>
        <w:jc w:val="both"/>
      </w:pPr>
      <w:r>
        <w:t>V</w:t>
      </w:r>
      <w:r w:rsidR="00922923">
        <w:t xml:space="preserve">eiklos plano rengimo procesas susijęs su savivaldybės metinio biudžeto rengimu ir strateginio planavimo ciklu. Strateginis veiklos planas parengtas siekiant efektyviai panaudoti turimus bei planuojamus gauti finansinius, materialiuosius ir darbo išteklius, užsibrėžtiems tikslams pasiekti. </w:t>
      </w:r>
    </w:p>
    <w:p w:rsidR="00E633A1" w:rsidRDefault="00E633A1" w:rsidP="00E633A1">
      <w:pPr>
        <w:ind w:firstLine="709"/>
        <w:jc w:val="both"/>
        <w:rPr>
          <w:b/>
          <w:kern w:val="1"/>
        </w:rPr>
      </w:pPr>
      <w:r w:rsidRPr="00632467">
        <w:rPr>
          <w:b/>
          <w:kern w:val="1"/>
        </w:rPr>
        <w:t>Lėšų poreikis (jeigu sprendimui įgyvendinti reikalingos lėšos):</w:t>
      </w:r>
    </w:p>
    <w:tbl>
      <w:tblPr>
        <w:tblpPr w:leftFromText="180" w:rightFromText="180" w:vertAnchor="text" w:horzAnchor="margin" w:tblpY="1756"/>
        <w:tblW w:w="9752" w:type="dxa"/>
        <w:tblLook w:val="04A0" w:firstRow="1" w:lastRow="0" w:firstColumn="1" w:lastColumn="0" w:noHBand="0" w:noVBand="1"/>
      </w:tblPr>
      <w:tblGrid>
        <w:gridCol w:w="5382"/>
        <w:gridCol w:w="1558"/>
        <w:gridCol w:w="1416"/>
        <w:gridCol w:w="1396"/>
      </w:tblGrid>
      <w:tr w:rsidR="00BB62F2" w:rsidRPr="003C0889" w:rsidTr="00F34ECC">
        <w:trPr>
          <w:trHeight w:val="706"/>
        </w:trPr>
        <w:tc>
          <w:tcPr>
            <w:tcW w:w="5382" w:type="dxa"/>
            <w:tcBorders>
              <w:top w:val="single" w:sz="4" w:space="0" w:color="auto"/>
              <w:left w:val="single" w:sz="4" w:space="0" w:color="auto"/>
              <w:bottom w:val="single" w:sz="4" w:space="0" w:color="auto"/>
              <w:right w:val="single" w:sz="4" w:space="0" w:color="auto"/>
            </w:tcBorders>
            <w:shd w:val="clear" w:color="auto" w:fill="auto"/>
          </w:tcPr>
          <w:p w:rsidR="00BB62F2" w:rsidRPr="003C0889" w:rsidRDefault="00BB62F2" w:rsidP="00BB62F2">
            <w:pPr>
              <w:jc w:val="center"/>
              <w:rPr>
                <w:b/>
                <w:bCs/>
                <w:sz w:val="20"/>
                <w:szCs w:val="20"/>
              </w:rPr>
            </w:pPr>
            <w:r w:rsidRPr="003C0889">
              <w:rPr>
                <w:b/>
                <w:bCs/>
                <w:sz w:val="20"/>
                <w:szCs w:val="20"/>
              </w:rPr>
              <w:t>Programos pavadinimas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BB62F2" w:rsidRPr="00CF5049" w:rsidRDefault="00BB62F2" w:rsidP="00BB62F2">
            <w:pPr>
              <w:jc w:val="center"/>
              <w:rPr>
                <w:b/>
                <w:bCs/>
                <w:color w:val="000000" w:themeColor="text1"/>
                <w:sz w:val="22"/>
                <w:szCs w:val="22"/>
              </w:rPr>
            </w:pPr>
            <w:r w:rsidRPr="00CF5049">
              <w:rPr>
                <w:b/>
                <w:bCs/>
                <w:color w:val="000000" w:themeColor="text1"/>
                <w:sz w:val="22"/>
                <w:szCs w:val="22"/>
              </w:rPr>
              <w:t>2022 m. asignavimai,   tūkst. Eur</w:t>
            </w:r>
          </w:p>
        </w:tc>
        <w:tc>
          <w:tcPr>
            <w:tcW w:w="1416" w:type="dxa"/>
            <w:tcBorders>
              <w:top w:val="single" w:sz="4" w:space="0" w:color="auto"/>
              <w:left w:val="nil"/>
              <w:bottom w:val="single" w:sz="4" w:space="0" w:color="auto"/>
              <w:right w:val="single" w:sz="4" w:space="0" w:color="auto"/>
            </w:tcBorders>
            <w:shd w:val="clear" w:color="auto" w:fill="auto"/>
            <w:vAlign w:val="bottom"/>
          </w:tcPr>
          <w:p w:rsidR="00BB62F2" w:rsidRPr="00CF5049" w:rsidRDefault="00BB62F2" w:rsidP="00BB62F2">
            <w:pPr>
              <w:jc w:val="center"/>
              <w:rPr>
                <w:b/>
                <w:bCs/>
                <w:color w:val="000000" w:themeColor="text1"/>
                <w:sz w:val="22"/>
                <w:szCs w:val="22"/>
              </w:rPr>
            </w:pPr>
            <w:r w:rsidRPr="00CF5049">
              <w:rPr>
                <w:b/>
                <w:bCs/>
                <w:color w:val="000000" w:themeColor="text1"/>
                <w:sz w:val="22"/>
                <w:szCs w:val="22"/>
              </w:rPr>
              <w:t>2023 m. asignavimai,   tūkst. Eur</w:t>
            </w:r>
          </w:p>
        </w:tc>
        <w:tc>
          <w:tcPr>
            <w:tcW w:w="1396" w:type="dxa"/>
            <w:tcBorders>
              <w:top w:val="single" w:sz="4" w:space="0" w:color="auto"/>
              <w:left w:val="nil"/>
              <w:bottom w:val="single" w:sz="4" w:space="0" w:color="auto"/>
              <w:right w:val="single" w:sz="4" w:space="0" w:color="auto"/>
            </w:tcBorders>
            <w:shd w:val="clear" w:color="auto" w:fill="auto"/>
            <w:vAlign w:val="bottom"/>
          </w:tcPr>
          <w:p w:rsidR="00BB62F2" w:rsidRPr="00CF5049" w:rsidRDefault="00BB62F2" w:rsidP="00BB62F2">
            <w:pPr>
              <w:jc w:val="center"/>
              <w:rPr>
                <w:b/>
                <w:bCs/>
                <w:color w:val="000000" w:themeColor="text1"/>
                <w:sz w:val="22"/>
                <w:szCs w:val="22"/>
              </w:rPr>
            </w:pPr>
            <w:r w:rsidRPr="00CF5049">
              <w:rPr>
                <w:b/>
                <w:bCs/>
                <w:color w:val="000000" w:themeColor="text1"/>
                <w:sz w:val="22"/>
                <w:szCs w:val="22"/>
              </w:rPr>
              <w:t>2024 m. asignavimai,   tūkst. Eur</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rPr>
                <w:sz w:val="22"/>
                <w:szCs w:val="22"/>
              </w:rPr>
            </w:pPr>
            <w:r w:rsidRPr="003C0889">
              <w:rPr>
                <w:sz w:val="22"/>
                <w:szCs w:val="22"/>
              </w:rPr>
              <w:t>01 Švietimas ir ugdymas</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32 244,4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35 027,7</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35 495,7</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02 Sveikatos apsauga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1 740,4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1 906,4</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1 553,4</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03 Socialinės apsaugos plėtojimas</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26 007,5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25 915,5</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26 266,5</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04 Kūno kultūros ir sporto plėtra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1 991,0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2 287,0</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1 918,0</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05 Kultūros veiklos plėtra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6 271,7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5 187,4</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5 595,4</w:t>
            </w:r>
          </w:p>
        </w:tc>
      </w:tr>
      <w:tr w:rsidR="00CF5049" w:rsidRPr="003C0889" w:rsidTr="00F34ECC">
        <w:trPr>
          <w:trHeight w:val="274"/>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rPr>
                <w:sz w:val="22"/>
                <w:szCs w:val="22"/>
              </w:rPr>
            </w:pPr>
            <w:r w:rsidRPr="003C0889">
              <w:rPr>
                <w:sz w:val="22"/>
                <w:szCs w:val="22"/>
              </w:rPr>
              <w:t>06 Kultūros paveldo išsaugojimas, turizmo skatinimas bei vystymas</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1 173,5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767,0</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557,0</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07 Infrastruktūros objektų priežiūra ir plėtra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8 262,4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6 916,0</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7 542,0</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08 Aplinkos apsauga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5 690,5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5 298,0</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5 429,1</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09 Žemės ūkio plėtra ir melioracija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690,8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1 433,1</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1 132,1</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both"/>
              <w:rPr>
                <w:sz w:val="22"/>
                <w:szCs w:val="22"/>
              </w:rPr>
            </w:pPr>
            <w:r w:rsidRPr="003C0889">
              <w:rPr>
                <w:sz w:val="22"/>
                <w:szCs w:val="22"/>
              </w:rPr>
              <w:t>10  Parama verslui ir verslo plėtra</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3 063,7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1 356,0</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246,0</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rPr>
                <w:sz w:val="22"/>
                <w:szCs w:val="22"/>
              </w:rPr>
            </w:pPr>
            <w:r w:rsidRPr="003C0889">
              <w:rPr>
                <w:sz w:val="22"/>
                <w:szCs w:val="22"/>
              </w:rPr>
              <w:t>11  Savivaldybės valdymo tobulinimas</w:t>
            </w:r>
          </w:p>
        </w:tc>
        <w:tc>
          <w:tcPr>
            <w:tcW w:w="1558" w:type="dxa"/>
            <w:tcBorders>
              <w:top w:val="nil"/>
              <w:left w:val="single" w:sz="4" w:space="0" w:color="auto"/>
              <w:bottom w:val="single" w:sz="4" w:space="0" w:color="auto"/>
              <w:right w:val="single" w:sz="4" w:space="0" w:color="auto"/>
            </w:tcBorders>
            <w:shd w:val="clear" w:color="auto" w:fill="auto"/>
          </w:tcPr>
          <w:p w:rsidR="00CF5049" w:rsidRPr="002F6642" w:rsidRDefault="00CF5049" w:rsidP="00CF5049">
            <w:pPr>
              <w:jc w:val="right"/>
            </w:pPr>
            <w:r w:rsidRPr="001E7383">
              <w:t xml:space="preserve">9 960,4  </w:t>
            </w:r>
          </w:p>
        </w:tc>
        <w:tc>
          <w:tcPr>
            <w:tcW w:w="141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11 090,2</w:t>
            </w:r>
          </w:p>
        </w:tc>
        <w:tc>
          <w:tcPr>
            <w:tcW w:w="1396" w:type="dxa"/>
            <w:tcBorders>
              <w:top w:val="nil"/>
              <w:left w:val="nil"/>
              <w:bottom w:val="single" w:sz="4" w:space="0" w:color="auto"/>
              <w:right w:val="single" w:sz="4" w:space="0" w:color="auto"/>
            </w:tcBorders>
            <w:shd w:val="clear" w:color="auto" w:fill="auto"/>
          </w:tcPr>
          <w:p w:rsidR="00CF5049" w:rsidRPr="002F6642" w:rsidRDefault="00CF5049" w:rsidP="00CF5049">
            <w:pPr>
              <w:jc w:val="right"/>
            </w:pPr>
            <w:r w:rsidRPr="001E7383">
              <w:t>11 069,2</w:t>
            </w:r>
          </w:p>
        </w:tc>
      </w:tr>
      <w:tr w:rsidR="00CF5049" w:rsidRPr="003C0889" w:rsidTr="00F34ECC">
        <w:trPr>
          <w:trHeight w:val="300"/>
        </w:trPr>
        <w:tc>
          <w:tcPr>
            <w:tcW w:w="5382" w:type="dxa"/>
            <w:tcBorders>
              <w:top w:val="nil"/>
              <w:left w:val="single" w:sz="4" w:space="0" w:color="auto"/>
              <w:bottom w:val="single" w:sz="4" w:space="0" w:color="auto"/>
              <w:right w:val="single" w:sz="4" w:space="0" w:color="auto"/>
            </w:tcBorders>
            <w:shd w:val="clear" w:color="auto" w:fill="auto"/>
          </w:tcPr>
          <w:p w:rsidR="00CF5049" w:rsidRPr="003C0889" w:rsidRDefault="00CF5049" w:rsidP="00CF5049">
            <w:pPr>
              <w:jc w:val="right"/>
              <w:rPr>
                <w:b/>
                <w:sz w:val="22"/>
                <w:szCs w:val="22"/>
              </w:rPr>
            </w:pPr>
            <w:r w:rsidRPr="003C0889">
              <w:rPr>
                <w:b/>
                <w:sz w:val="22"/>
                <w:szCs w:val="22"/>
              </w:rPr>
              <w:t>Iš viso</w:t>
            </w:r>
          </w:p>
        </w:tc>
        <w:tc>
          <w:tcPr>
            <w:tcW w:w="1558" w:type="dxa"/>
            <w:tcBorders>
              <w:top w:val="nil"/>
              <w:left w:val="single" w:sz="4" w:space="0" w:color="auto"/>
              <w:bottom w:val="single" w:sz="4" w:space="0" w:color="auto"/>
              <w:right w:val="single" w:sz="4" w:space="0" w:color="auto"/>
            </w:tcBorders>
            <w:shd w:val="clear" w:color="auto" w:fill="auto"/>
          </w:tcPr>
          <w:p w:rsidR="00CF5049" w:rsidRPr="00FF7BBC" w:rsidRDefault="00CF5049" w:rsidP="00CF5049">
            <w:pPr>
              <w:jc w:val="right"/>
              <w:rPr>
                <w:b/>
                <w:bCs/>
              </w:rPr>
            </w:pPr>
            <w:r w:rsidRPr="00FF7BBC">
              <w:rPr>
                <w:b/>
              </w:rPr>
              <w:t>97 096,3</w:t>
            </w:r>
          </w:p>
        </w:tc>
        <w:tc>
          <w:tcPr>
            <w:tcW w:w="1416" w:type="dxa"/>
            <w:tcBorders>
              <w:top w:val="nil"/>
              <w:left w:val="nil"/>
              <w:bottom w:val="single" w:sz="4" w:space="0" w:color="auto"/>
              <w:right w:val="single" w:sz="4" w:space="0" w:color="auto"/>
            </w:tcBorders>
            <w:shd w:val="clear" w:color="auto" w:fill="auto"/>
          </w:tcPr>
          <w:p w:rsidR="00CF5049" w:rsidRPr="00FF7BBC" w:rsidRDefault="00CF5049" w:rsidP="00CF5049">
            <w:pPr>
              <w:jc w:val="right"/>
              <w:rPr>
                <w:b/>
                <w:bCs/>
              </w:rPr>
            </w:pPr>
            <w:r w:rsidRPr="00FF7BBC">
              <w:rPr>
                <w:b/>
              </w:rPr>
              <w:t>97 184,3</w:t>
            </w:r>
          </w:p>
        </w:tc>
        <w:tc>
          <w:tcPr>
            <w:tcW w:w="1396" w:type="dxa"/>
            <w:tcBorders>
              <w:top w:val="nil"/>
              <w:left w:val="nil"/>
              <w:bottom w:val="single" w:sz="4" w:space="0" w:color="auto"/>
              <w:right w:val="single" w:sz="4" w:space="0" w:color="auto"/>
            </w:tcBorders>
            <w:shd w:val="clear" w:color="auto" w:fill="auto"/>
          </w:tcPr>
          <w:p w:rsidR="00CF5049" w:rsidRPr="00FF7BBC" w:rsidRDefault="00CF5049" w:rsidP="00CF5049">
            <w:pPr>
              <w:jc w:val="right"/>
              <w:rPr>
                <w:b/>
                <w:bCs/>
              </w:rPr>
            </w:pPr>
            <w:r w:rsidRPr="00FF7BBC">
              <w:rPr>
                <w:b/>
              </w:rPr>
              <w:t>96 804,4</w:t>
            </w:r>
          </w:p>
        </w:tc>
      </w:tr>
    </w:tbl>
    <w:p w:rsidR="00BB62F2" w:rsidRDefault="00E866AD" w:rsidP="00BB62F2">
      <w:pPr>
        <w:pStyle w:val="Textbeitrauku"/>
        <w:spacing w:after="120"/>
        <w:ind w:firstLine="720"/>
        <w:rPr>
          <w:szCs w:val="24"/>
        </w:rPr>
      </w:pPr>
      <w:r>
        <w:rPr>
          <w:szCs w:val="24"/>
        </w:rPr>
        <w:t>V</w:t>
      </w:r>
      <w:r w:rsidR="007D11BB" w:rsidRPr="005B2B6D">
        <w:rPr>
          <w:szCs w:val="24"/>
        </w:rPr>
        <w:t>eiklos plan</w:t>
      </w:r>
      <w:r w:rsidR="005B2B6D" w:rsidRPr="005B2B6D">
        <w:rPr>
          <w:szCs w:val="24"/>
        </w:rPr>
        <w:t>as</w:t>
      </w:r>
      <w:r w:rsidR="007D11BB" w:rsidRPr="005B2B6D">
        <w:rPr>
          <w:szCs w:val="24"/>
        </w:rPr>
        <w:t xml:space="preserve"> </w:t>
      </w:r>
      <w:r w:rsidR="005B2B6D">
        <w:rPr>
          <w:szCs w:val="24"/>
        </w:rPr>
        <w:t xml:space="preserve">įgyvendinamas Savivaldybės biudžeto, </w:t>
      </w:r>
      <w:r w:rsidR="005B2B6D" w:rsidRPr="005B2B6D">
        <w:rPr>
          <w:szCs w:val="24"/>
        </w:rPr>
        <w:t>Valstybės biudžeto speciali</w:t>
      </w:r>
      <w:r w:rsidR="005B2B6D">
        <w:rPr>
          <w:szCs w:val="24"/>
        </w:rPr>
        <w:t>ųjų</w:t>
      </w:r>
      <w:r w:rsidR="005B2B6D" w:rsidRPr="005B2B6D">
        <w:rPr>
          <w:szCs w:val="24"/>
        </w:rPr>
        <w:t xml:space="preserve"> tikslin</w:t>
      </w:r>
      <w:r w:rsidR="005B2B6D">
        <w:rPr>
          <w:szCs w:val="24"/>
        </w:rPr>
        <w:t>ių</w:t>
      </w:r>
      <w:r w:rsidR="005B2B6D" w:rsidRPr="005B2B6D">
        <w:rPr>
          <w:szCs w:val="24"/>
        </w:rPr>
        <w:t xml:space="preserve"> dotacij</w:t>
      </w:r>
      <w:r w:rsidR="005B2B6D">
        <w:rPr>
          <w:szCs w:val="24"/>
        </w:rPr>
        <w:t xml:space="preserve">ų, </w:t>
      </w:r>
      <w:r w:rsidR="005B2B6D" w:rsidRPr="005B2B6D">
        <w:rPr>
          <w:szCs w:val="24"/>
        </w:rPr>
        <w:t>Aplinkos apsaugos rėmimo specialiosios programos</w:t>
      </w:r>
      <w:r w:rsidR="005B2B6D">
        <w:rPr>
          <w:szCs w:val="24"/>
        </w:rPr>
        <w:t xml:space="preserve">, </w:t>
      </w:r>
      <w:r w:rsidR="005B2B6D" w:rsidRPr="005B2B6D">
        <w:rPr>
          <w:szCs w:val="24"/>
        </w:rPr>
        <w:t>Savivaldybės privatizavimo fondo</w:t>
      </w:r>
      <w:r w:rsidR="005B2B6D">
        <w:rPr>
          <w:szCs w:val="24"/>
        </w:rPr>
        <w:t>,</w:t>
      </w:r>
      <w:r w:rsidR="005B2B6D" w:rsidRPr="005B2B6D">
        <w:t xml:space="preserve"> </w:t>
      </w:r>
      <w:r w:rsidR="005B2B6D">
        <w:rPr>
          <w:szCs w:val="24"/>
        </w:rPr>
        <w:t>Europos Sąjungos</w:t>
      </w:r>
      <w:r w:rsidR="00E633A1">
        <w:rPr>
          <w:szCs w:val="24"/>
        </w:rPr>
        <w:t xml:space="preserve"> ir kitų</w:t>
      </w:r>
      <w:r w:rsidR="005B2B6D" w:rsidRPr="005B2B6D">
        <w:rPr>
          <w:szCs w:val="24"/>
        </w:rPr>
        <w:t xml:space="preserve"> užsienio fondų</w:t>
      </w:r>
      <w:r w:rsidR="005B2B6D">
        <w:rPr>
          <w:szCs w:val="24"/>
        </w:rPr>
        <w:t xml:space="preserve">, </w:t>
      </w:r>
      <w:r w:rsidR="005B2B6D" w:rsidRPr="005B2B6D">
        <w:rPr>
          <w:szCs w:val="24"/>
        </w:rPr>
        <w:t>Valstybės biudžeto</w:t>
      </w:r>
      <w:r w:rsidR="005B2B6D">
        <w:rPr>
          <w:szCs w:val="24"/>
        </w:rPr>
        <w:t xml:space="preserve">, </w:t>
      </w:r>
      <w:r w:rsidR="005B2B6D" w:rsidRPr="005B2B6D">
        <w:rPr>
          <w:szCs w:val="24"/>
        </w:rPr>
        <w:t>Kelių priežiūros ir plėtros programos</w:t>
      </w:r>
      <w:r w:rsidR="005B2B6D">
        <w:rPr>
          <w:szCs w:val="24"/>
        </w:rPr>
        <w:t xml:space="preserve">, skolintomis lėšomis, </w:t>
      </w:r>
      <w:r w:rsidR="005B2B6D" w:rsidRPr="00BA195B">
        <w:rPr>
          <w:szCs w:val="24"/>
        </w:rPr>
        <w:t xml:space="preserve">privačiomis </w:t>
      </w:r>
      <w:r w:rsidR="00E7018A">
        <w:rPr>
          <w:szCs w:val="24"/>
        </w:rPr>
        <w:t xml:space="preserve">(investuotojų) </w:t>
      </w:r>
      <w:r w:rsidR="005B2B6D" w:rsidRPr="00BA195B">
        <w:rPr>
          <w:szCs w:val="24"/>
        </w:rPr>
        <w:t xml:space="preserve">lėšomis, iš pajamų už </w:t>
      </w:r>
      <w:r w:rsidR="005B2B6D" w:rsidRPr="003C0889">
        <w:rPr>
          <w:szCs w:val="24"/>
        </w:rPr>
        <w:t>suteiktas paslaugas gautomis lėšomis</w:t>
      </w:r>
      <w:r w:rsidR="007D11BB" w:rsidRPr="003C0889">
        <w:rPr>
          <w:szCs w:val="24"/>
        </w:rPr>
        <w:t>.</w:t>
      </w:r>
    </w:p>
    <w:p w:rsidR="00BB62F2" w:rsidRPr="00BB62F2" w:rsidRDefault="00BB62F2" w:rsidP="00BB62F2">
      <w:pPr>
        <w:pStyle w:val="Textbeitrauku"/>
        <w:jc w:val="right"/>
        <w:rPr>
          <w:b/>
          <w:i/>
          <w:sz w:val="20"/>
          <w:szCs w:val="20"/>
        </w:rPr>
      </w:pPr>
      <w:r w:rsidRPr="00BB62F2">
        <w:rPr>
          <w:b/>
          <w:i/>
          <w:sz w:val="20"/>
          <w:szCs w:val="20"/>
        </w:rPr>
        <w:t>1 lentelė. Finansavimo poreikis 2022–2024 m. strateginio veiklos plano programų vykdymui</w:t>
      </w:r>
    </w:p>
    <w:p w:rsidR="00BB62F2" w:rsidRDefault="00BB62F2" w:rsidP="00034FC8">
      <w:pPr>
        <w:pStyle w:val="Textbeitrauku"/>
        <w:ind w:firstLine="720"/>
        <w:rPr>
          <w:b/>
          <w:i/>
          <w:szCs w:val="24"/>
        </w:rPr>
      </w:pPr>
    </w:p>
    <w:p w:rsidR="00475495" w:rsidRPr="003C0889" w:rsidRDefault="0054228E" w:rsidP="00034FC8">
      <w:pPr>
        <w:pStyle w:val="Textbeitrauku"/>
        <w:ind w:firstLine="720"/>
        <w:rPr>
          <w:szCs w:val="24"/>
        </w:rPr>
      </w:pPr>
      <w:r w:rsidRPr="003C0889">
        <w:rPr>
          <w:szCs w:val="24"/>
        </w:rPr>
        <w:t>Bendras</w:t>
      </w:r>
      <w:r w:rsidR="00F456E1" w:rsidRPr="003C0889">
        <w:rPr>
          <w:szCs w:val="24"/>
        </w:rPr>
        <w:t xml:space="preserve"> lėšų</w:t>
      </w:r>
      <w:r w:rsidRPr="003C0889">
        <w:rPr>
          <w:szCs w:val="24"/>
        </w:rPr>
        <w:t xml:space="preserve"> poreikis įgyvendina</w:t>
      </w:r>
      <w:r w:rsidR="00034FC8" w:rsidRPr="003C0889">
        <w:rPr>
          <w:szCs w:val="24"/>
        </w:rPr>
        <w:t>n</w:t>
      </w:r>
      <w:r w:rsidRPr="003C0889">
        <w:rPr>
          <w:szCs w:val="24"/>
        </w:rPr>
        <w:t>t 20</w:t>
      </w:r>
      <w:r w:rsidR="00E541AA" w:rsidRPr="003C0889">
        <w:rPr>
          <w:szCs w:val="24"/>
        </w:rPr>
        <w:t>2</w:t>
      </w:r>
      <w:r w:rsidR="003749B3">
        <w:rPr>
          <w:szCs w:val="24"/>
        </w:rPr>
        <w:t>2</w:t>
      </w:r>
      <w:r w:rsidR="00BC4C84" w:rsidRPr="003C0889">
        <w:rPr>
          <w:szCs w:val="24"/>
        </w:rPr>
        <w:t>–</w:t>
      </w:r>
      <w:r w:rsidRPr="003C0889">
        <w:rPr>
          <w:szCs w:val="24"/>
        </w:rPr>
        <w:t>20</w:t>
      </w:r>
      <w:r w:rsidR="0019042C" w:rsidRPr="003C0889">
        <w:rPr>
          <w:szCs w:val="24"/>
        </w:rPr>
        <w:t>2</w:t>
      </w:r>
      <w:r w:rsidR="003749B3">
        <w:rPr>
          <w:szCs w:val="24"/>
        </w:rPr>
        <w:t>4</w:t>
      </w:r>
      <w:r w:rsidRPr="003C0889">
        <w:rPr>
          <w:szCs w:val="24"/>
        </w:rPr>
        <w:t xml:space="preserve"> metų </w:t>
      </w:r>
      <w:r w:rsidR="00E866AD" w:rsidRPr="003C0889">
        <w:rPr>
          <w:szCs w:val="24"/>
        </w:rPr>
        <w:t>V</w:t>
      </w:r>
      <w:r w:rsidRPr="003C0889">
        <w:rPr>
          <w:szCs w:val="24"/>
        </w:rPr>
        <w:t>eiklos plan</w:t>
      </w:r>
      <w:r w:rsidR="003C02D6" w:rsidRPr="003C0889">
        <w:rPr>
          <w:szCs w:val="24"/>
        </w:rPr>
        <w:t>o programas</w:t>
      </w:r>
      <w:r w:rsidR="00BA195B" w:rsidRPr="003C0889">
        <w:rPr>
          <w:szCs w:val="24"/>
        </w:rPr>
        <w:t xml:space="preserve"> </w:t>
      </w:r>
      <w:r w:rsidR="0001311F" w:rsidRPr="003C0889">
        <w:rPr>
          <w:szCs w:val="24"/>
        </w:rPr>
        <w:t>20</w:t>
      </w:r>
      <w:r w:rsidR="00E541AA" w:rsidRPr="003C0889">
        <w:rPr>
          <w:szCs w:val="24"/>
        </w:rPr>
        <w:t>2</w:t>
      </w:r>
      <w:r w:rsidR="003749B3">
        <w:rPr>
          <w:szCs w:val="24"/>
        </w:rPr>
        <w:t>2</w:t>
      </w:r>
      <w:r w:rsidR="0001311F" w:rsidRPr="003C0889">
        <w:rPr>
          <w:szCs w:val="24"/>
        </w:rPr>
        <w:t xml:space="preserve"> m. </w:t>
      </w:r>
      <w:r w:rsidR="00BA195B" w:rsidRPr="003C0889">
        <w:rPr>
          <w:szCs w:val="24"/>
        </w:rPr>
        <w:t>yra</w:t>
      </w:r>
      <w:r w:rsidR="00E866AD" w:rsidRPr="003C0889">
        <w:rPr>
          <w:szCs w:val="24"/>
        </w:rPr>
        <w:t xml:space="preserve"> </w:t>
      </w:r>
      <w:r w:rsidR="003749B3">
        <w:rPr>
          <w:szCs w:val="24"/>
        </w:rPr>
        <w:t>beveik 97,1</w:t>
      </w:r>
      <w:r w:rsidR="00EB5B38" w:rsidRPr="003C0889">
        <w:rPr>
          <w:szCs w:val="24"/>
        </w:rPr>
        <w:t xml:space="preserve"> mln. Eur</w:t>
      </w:r>
      <w:r w:rsidR="00FB6516" w:rsidRPr="003C0889">
        <w:rPr>
          <w:szCs w:val="24"/>
        </w:rPr>
        <w:t>, 20</w:t>
      </w:r>
      <w:r w:rsidR="00EB5B38" w:rsidRPr="003C0889">
        <w:rPr>
          <w:szCs w:val="24"/>
        </w:rPr>
        <w:t>2</w:t>
      </w:r>
      <w:r w:rsidR="003749B3">
        <w:rPr>
          <w:szCs w:val="24"/>
        </w:rPr>
        <w:t>3</w:t>
      </w:r>
      <w:r w:rsidR="00FB6516" w:rsidRPr="003C0889">
        <w:rPr>
          <w:szCs w:val="24"/>
        </w:rPr>
        <w:t xml:space="preserve"> m. –</w:t>
      </w:r>
      <w:r w:rsidR="00E37BFB">
        <w:rPr>
          <w:szCs w:val="24"/>
        </w:rPr>
        <w:t xml:space="preserve"> </w:t>
      </w:r>
      <w:r w:rsidR="001D5487">
        <w:rPr>
          <w:szCs w:val="24"/>
        </w:rPr>
        <w:t xml:space="preserve">beveik </w:t>
      </w:r>
      <w:r w:rsidR="00E927DB">
        <w:rPr>
          <w:szCs w:val="24"/>
        </w:rPr>
        <w:t>97,</w:t>
      </w:r>
      <w:r w:rsidR="001D5487">
        <w:rPr>
          <w:szCs w:val="24"/>
        </w:rPr>
        <w:t>2</w:t>
      </w:r>
      <w:r w:rsidR="00E866AD" w:rsidRPr="003C0889">
        <w:rPr>
          <w:szCs w:val="24"/>
        </w:rPr>
        <w:t xml:space="preserve"> mln. </w:t>
      </w:r>
      <w:r w:rsidR="00BA195B" w:rsidRPr="003C0889">
        <w:rPr>
          <w:szCs w:val="24"/>
        </w:rPr>
        <w:t>Eur</w:t>
      </w:r>
      <w:r w:rsidR="00FB6516" w:rsidRPr="003C0889">
        <w:rPr>
          <w:szCs w:val="24"/>
        </w:rPr>
        <w:t>, 20</w:t>
      </w:r>
      <w:r w:rsidR="00BC4CE1" w:rsidRPr="003C0889">
        <w:rPr>
          <w:szCs w:val="24"/>
        </w:rPr>
        <w:t>2</w:t>
      </w:r>
      <w:r w:rsidR="003749B3">
        <w:rPr>
          <w:szCs w:val="24"/>
        </w:rPr>
        <w:t>4</w:t>
      </w:r>
      <w:r w:rsidR="00FB6516" w:rsidRPr="003C0889">
        <w:rPr>
          <w:szCs w:val="24"/>
        </w:rPr>
        <w:t xml:space="preserve"> m. –</w:t>
      </w:r>
      <w:r w:rsidR="00E37BFB">
        <w:rPr>
          <w:szCs w:val="24"/>
        </w:rPr>
        <w:t xml:space="preserve"> </w:t>
      </w:r>
      <w:r w:rsidR="003749B3">
        <w:rPr>
          <w:szCs w:val="24"/>
        </w:rPr>
        <w:t>9</w:t>
      </w:r>
      <w:r w:rsidR="00E37BFB">
        <w:rPr>
          <w:szCs w:val="24"/>
        </w:rPr>
        <w:t>6,</w:t>
      </w:r>
      <w:r w:rsidR="001D5487">
        <w:rPr>
          <w:szCs w:val="24"/>
        </w:rPr>
        <w:t>8</w:t>
      </w:r>
      <w:r w:rsidR="003C0889" w:rsidRPr="003C0889">
        <w:rPr>
          <w:szCs w:val="24"/>
        </w:rPr>
        <w:t xml:space="preserve"> </w:t>
      </w:r>
      <w:r w:rsidR="00E866AD" w:rsidRPr="003C0889">
        <w:rPr>
          <w:szCs w:val="24"/>
        </w:rPr>
        <w:t>mln. Eur.</w:t>
      </w:r>
      <w:r w:rsidR="0001335D" w:rsidRPr="003C0889">
        <w:rPr>
          <w:szCs w:val="24"/>
        </w:rPr>
        <w:t xml:space="preserve"> </w:t>
      </w:r>
      <w:r w:rsidR="00034FC8" w:rsidRPr="003C0889">
        <w:rPr>
          <w:szCs w:val="24"/>
        </w:rPr>
        <w:t>L</w:t>
      </w:r>
      <w:r w:rsidR="00475495" w:rsidRPr="003C0889">
        <w:rPr>
          <w:szCs w:val="24"/>
        </w:rPr>
        <w:t>ėšų poreikis</w:t>
      </w:r>
      <w:r w:rsidR="00BC4CE1" w:rsidRPr="003C0889">
        <w:rPr>
          <w:szCs w:val="24"/>
        </w:rPr>
        <w:t xml:space="preserve"> pagal programas</w:t>
      </w:r>
      <w:r w:rsidR="00475495" w:rsidRPr="003C0889">
        <w:rPr>
          <w:szCs w:val="24"/>
        </w:rPr>
        <w:t xml:space="preserve"> 20</w:t>
      </w:r>
      <w:r w:rsidR="00B071ED" w:rsidRPr="003C0889">
        <w:rPr>
          <w:szCs w:val="24"/>
        </w:rPr>
        <w:t>2</w:t>
      </w:r>
      <w:r w:rsidR="003749B3">
        <w:rPr>
          <w:szCs w:val="24"/>
        </w:rPr>
        <w:t>2</w:t>
      </w:r>
      <w:r w:rsidR="00475495" w:rsidRPr="003C0889">
        <w:rPr>
          <w:szCs w:val="24"/>
        </w:rPr>
        <w:t>–20</w:t>
      </w:r>
      <w:r w:rsidR="00403383" w:rsidRPr="003C0889">
        <w:rPr>
          <w:szCs w:val="24"/>
        </w:rPr>
        <w:t>2</w:t>
      </w:r>
      <w:r w:rsidR="003749B3">
        <w:rPr>
          <w:szCs w:val="24"/>
        </w:rPr>
        <w:t>4</w:t>
      </w:r>
      <w:r w:rsidR="00475495" w:rsidRPr="003C0889">
        <w:rPr>
          <w:szCs w:val="24"/>
        </w:rPr>
        <w:t xml:space="preserve"> m. pasiskirsto taip:</w:t>
      </w:r>
    </w:p>
    <w:p w:rsidR="00BB7020" w:rsidRDefault="00877C96" w:rsidP="00685C50">
      <w:pPr>
        <w:ind w:firstLine="567"/>
        <w:jc w:val="both"/>
      </w:pPr>
      <w:r>
        <w:rPr>
          <w:b/>
          <w:noProof/>
          <w:color w:val="FF0000"/>
          <w:sz w:val="20"/>
          <w:szCs w:val="20"/>
          <w:lang w:val="en-US"/>
        </w:rPr>
        <w:drawing>
          <wp:anchor distT="0" distB="0" distL="114300" distR="114300" simplePos="0" relativeHeight="251658240" behindDoc="1" locked="0" layoutInCell="1" allowOverlap="1" wp14:anchorId="289277F5" wp14:editId="1610B01F">
            <wp:simplePos x="0" y="0"/>
            <wp:positionH relativeFrom="margin">
              <wp:posOffset>58037</wp:posOffset>
            </wp:positionH>
            <wp:positionV relativeFrom="paragraph">
              <wp:posOffset>1514475</wp:posOffset>
            </wp:positionV>
            <wp:extent cx="5925820" cy="3305175"/>
            <wp:effectExtent l="0" t="0" r="0" b="9525"/>
            <wp:wrapTight wrapText="bothSides">
              <wp:wrapPolygon edited="0">
                <wp:start x="0" y="0"/>
                <wp:lineTo x="0" y="21538"/>
                <wp:lineTo x="21526" y="21538"/>
                <wp:lineTo x="215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5820" cy="3305175"/>
                    </a:xfrm>
                    <a:prstGeom prst="rect">
                      <a:avLst/>
                    </a:prstGeom>
                    <a:noFill/>
                  </pic:spPr>
                </pic:pic>
              </a:graphicData>
            </a:graphic>
            <wp14:sizeRelH relativeFrom="margin">
              <wp14:pctWidth>0</wp14:pctWidth>
            </wp14:sizeRelH>
            <wp14:sizeRelV relativeFrom="margin">
              <wp14:pctHeight>0</wp14:pctHeight>
            </wp14:sizeRelV>
          </wp:anchor>
        </w:drawing>
      </w:r>
      <w:r w:rsidR="00BC4CE1" w:rsidRPr="00685C50">
        <w:t>20</w:t>
      </w:r>
      <w:r w:rsidR="00CC1352" w:rsidRPr="00685C50">
        <w:t>2</w:t>
      </w:r>
      <w:r w:rsidR="00E37BFB">
        <w:t>2</w:t>
      </w:r>
      <w:r w:rsidR="00BC4CE1" w:rsidRPr="00685C50">
        <w:t xml:space="preserve"> m. didžioji lėšų dalis (</w:t>
      </w:r>
      <w:r w:rsidR="00E7018A">
        <w:t>33,2</w:t>
      </w:r>
      <w:r w:rsidR="00BC4CE1" w:rsidRPr="00685C50">
        <w:t xml:space="preserve"> proc.</w:t>
      </w:r>
      <w:r w:rsidR="001D5487">
        <w:t xml:space="preserve"> arba 32,2 mln. Eur</w:t>
      </w:r>
      <w:r w:rsidR="00BC4CE1" w:rsidRPr="00685C50">
        <w:t xml:space="preserve"> visų asignavimų) planuojama Švietim</w:t>
      </w:r>
      <w:r w:rsidR="00BB7020" w:rsidRPr="00685C50">
        <w:t>ui</w:t>
      </w:r>
      <w:r w:rsidR="00BC4CE1" w:rsidRPr="00685C50">
        <w:t xml:space="preserve"> ir</w:t>
      </w:r>
      <w:r w:rsidR="00680E3A" w:rsidRPr="00685C50">
        <w:t xml:space="preserve"> ugdymui</w:t>
      </w:r>
      <w:r w:rsidR="00BC4CE1" w:rsidRPr="00685C50">
        <w:t xml:space="preserve">, </w:t>
      </w:r>
      <w:r w:rsidR="00E7018A">
        <w:t>26,8</w:t>
      </w:r>
      <w:r w:rsidR="00BB7020" w:rsidRPr="00685C50">
        <w:t xml:space="preserve"> proc.</w:t>
      </w:r>
      <w:r w:rsidR="001D5487">
        <w:t xml:space="preserve"> (26 mln. Eur)</w:t>
      </w:r>
      <w:r w:rsidR="00BB7020" w:rsidRPr="00685C50">
        <w:t xml:space="preserve"> – Socialinės apsaugos plėtojimui, </w:t>
      </w:r>
      <w:r w:rsidR="00E7018A">
        <w:t>10,3</w:t>
      </w:r>
      <w:r w:rsidR="00E7018A" w:rsidRPr="00685C50">
        <w:t xml:space="preserve"> proc.</w:t>
      </w:r>
      <w:r w:rsidR="001D5487">
        <w:t xml:space="preserve"> (10 mln. Eur)</w:t>
      </w:r>
      <w:r w:rsidR="00E7018A" w:rsidRPr="00685C50">
        <w:t xml:space="preserve"> – Savivaldybės valdymo tobulinimui</w:t>
      </w:r>
      <w:r w:rsidR="00E7018A">
        <w:t xml:space="preserve">, </w:t>
      </w:r>
      <w:r w:rsidR="00E7018A" w:rsidRPr="00685C50">
        <w:t xml:space="preserve"> </w:t>
      </w:r>
      <w:r w:rsidR="00E7018A">
        <w:t>8,7</w:t>
      </w:r>
      <w:r w:rsidR="00BB7020" w:rsidRPr="00685C50">
        <w:t xml:space="preserve"> proc.</w:t>
      </w:r>
      <w:r w:rsidR="001D5487">
        <w:t xml:space="preserve"> (8,3 mln. Eur)</w:t>
      </w:r>
      <w:r w:rsidR="00BB7020" w:rsidRPr="00685C50">
        <w:t xml:space="preserve"> – Infrastruktūros objektų priežiūrai ir plėtrai, </w:t>
      </w:r>
      <w:r w:rsidR="00685C50" w:rsidRPr="00685C50">
        <w:t>6,</w:t>
      </w:r>
      <w:r w:rsidR="00E7018A">
        <w:t xml:space="preserve">5 </w:t>
      </w:r>
      <w:r w:rsidR="00685C50" w:rsidRPr="00685C50">
        <w:t>proc.</w:t>
      </w:r>
      <w:r w:rsidR="001D5487">
        <w:t xml:space="preserve"> (6,3 mln. Eur)</w:t>
      </w:r>
      <w:r w:rsidR="00685C50" w:rsidRPr="00685C50">
        <w:t xml:space="preserve"> – Kultūros veiklos plėtrai, </w:t>
      </w:r>
      <w:r w:rsidR="00E7018A">
        <w:t xml:space="preserve">5,9 </w:t>
      </w:r>
      <w:r w:rsidR="00027D0E" w:rsidRPr="00685C50">
        <w:t xml:space="preserve"> proc.</w:t>
      </w:r>
      <w:r w:rsidR="00E7018A" w:rsidRPr="00E7018A">
        <w:t xml:space="preserve"> </w:t>
      </w:r>
      <w:r w:rsidR="001D5487">
        <w:t xml:space="preserve">(5,7 mln. Eur) </w:t>
      </w:r>
      <w:r w:rsidR="00E7018A" w:rsidRPr="00685C50">
        <w:t xml:space="preserve">– </w:t>
      </w:r>
      <w:r w:rsidR="00027D0E" w:rsidRPr="00685C50">
        <w:t>Aplinkos apsaugai</w:t>
      </w:r>
      <w:r w:rsidR="00E7018A">
        <w:t>, 3,2 proc.</w:t>
      </w:r>
      <w:r w:rsidR="001D5487">
        <w:t xml:space="preserve"> (3 mln. Eur)</w:t>
      </w:r>
      <w:r w:rsidR="00E7018A">
        <w:t xml:space="preserve"> </w:t>
      </w:r>
      <w:r w:rsidR="00E7018A" w:rsidRPr="00685C50">
        <w:t xml:space="preserve">– </w:t>
      </w:r>
      <w:r w:rsidR="00685C50" w:rsidRPr="00685C50">
        <w:t>Paramai verslui ir verslo plėtrai</w:t>
      </w:r>
      <w:r w:rsidR="007D4930" w:rsidRPr="00685C50">
        <w:t>,</w:t>
      </w:r>
      <w:r w:rsidR="00685C50" w:rsidRPr="00685C50">
        <w:t xml:space="preserve"> 2,</w:t>
      </w:r>
      <w:r w:rsidR="00E7018A">
        <w:t>1</w:t>
      </w:r>
      <w:r w:rsidR="00685C50" w:rsidRPr="00685C50">
        <w:t xml:space="preserve"> proc.</w:t>
      </w:r>
      <w:r w:rsidR="001D5487">
        <w:t xml:space="preserve"> (2 mln. Eur)</w:t>
      </w:r>
      <w:r w:rsidR="00685C50" w:rsidRPr="00685C50">
        <w:t xml:space="preserve"> –  Sporto veiklos plėtrai, </w:t>
      </w:r>
      <w:r w:rsidR="00E7018A" w:rsidRPr="00685C50">
        <w:t>1,</w:t>
      </w:r>
      <w:r w:rsidR="00E7018A">
        <w:t>8</w:t>
      </w:r>
      <w:r w:rsidR="00E7018A" w:rsidRPr="00685C50">
        <w:t xml:space="preserve"> proc</w:t>
      </w:r>
      <w:r w:rsidR="00E7018A" w:rsidRPr="00165FBF">
        <w:t xml:space="preserve">. </w:t>
      </w:r>
      <w:r w:rsidR="001D5487">
        <w:t xml:space="preserve">(1,7 mln. Eur) </w:t>
      </w:r>
      <w:r w:rsidR="00E7018A" w:rsidRPr="00165FBF">
        <w:t>– Sveikatos apsaugai, 1,2</w:t>
      </w:r>
      <w:r w:rsidR="00BB7020" w:rsidRPr="00165FBF">
        <w:t xml:space="preserve"> proc.</w:t>
      </w:r>
      <w:r w:rsidR="001D5487">
        <w:t xml:space="preserve"> (1,2 mln. Eur) </w:t>
      </w:r>
      <w:r w:rsidR="00BB7020" w:rsidRPr="00165FBF">
        <w:t>– Kultūros paveldo išsaugojimui, turizmo skatinimui bei vystym</w:t>
      </w:r>
      <w:r w:rsidR="00E7018A" w:rsidRPr="00165FBF">
        <w:t xml:space="preserve">ui ir </w:t>
      </w:r>
      <w:r w:rsidR="00685C50" w:rsidRPr="00165FBF">
        <w:t xml:space="preserve">0,7 </w:t>
      </w:r>
      <w:r w:rsidR="007D4930" w:rsidRPr="00165FBF">
        <w:t xml:space="preserve">proc. </w:t>
      </w:r>
      <w:r w:rsidR="001D5487">
        <w:t xml:space="preserve">(0,7 mln. Eur) </w:t>
      </w:r>
      <w:r w:rsidR="007D4930" w:rsidRPr="00165FBF">
        <w:t>–  Žemės ūkio plėtrai ir melioracijai</w:t>
      </w:r>
      <w:r w:rsidR="00E23353" w:rsidRPr="00165FBF">
        <w:t xml:space="preserve"> </w:t>
      </w:r>
      <w:r w:rsidR="00BB7020" w:rsidRPr="00165FBF">
        <w:t>(</w:t>
      </w:r>
      <w:r w:rsidR="003C0889" w:rsidRPr="00165FBF">
        <w:t xml:space="preserve">žr. </w:t>
      </w:r>
      <w:r w:rsidR="00BB7020" w:rsidRPr="00165FBF">
        <w:t>1 pav.).</w:t>
      </w:r>
    </w:p>
    <w:p w:rsidR="00BB7020" w:rsidRPr="006D4358" w:rsidRDefault="00BB7020" w:rsidP="00685C50">
      <w:pPr>
        <w:ind w:firstLine="720"/>
        <w:jc w:val="center"/>
        <w:rPr>
          <w:sz w:val="20"/>
          <w:szCs w:val="20"/>
        </w:rPr>
      </w:pPr>
      <w:r w:rsidRPr="006D4358">
        <w:rPr>
          <w:b/>
          <w:sz w:val="20"/>
          <w:szCs w:val="20"/>
        </w:rPr>
        <w:t>1 pav. Planuojami 20</w:t>
      </w:r>
      <w:r w:rsidR="00DF75EF" w:rsidRPr="006D4358">
        <w:rPr>
          <w:b/>
          <w:sz w:val="20"/>
          <w:szCs w:val="20"/>
        </w:rPr>
        <w:t>2</w:t>
      </w:r>
      <w:r w:rsidR="00045AB4" w:rsidRPr="006D4358">
        <w:rPr>
          <w:b/>
          <w:sz w:val="20"/>
          <w:szCs w:val="20"/>
        </w:rPr>
        <w:t>2</w:t>
      </w:r>
      <w:r w:rsidRPr="006D4358">
        <w:rPr>
          <w:b/>
          <w:sz w:val="20"/>
          <w:szCs w:val="20"/>
        </w:rPr>
        <w:t xml:space="preserve"> m. asignavimai pagal Strateginio veiklos plano programas proc.</w:t>
      </w:r>
    </w:p>
    <w:p w:rsidR="00BC4CE1" w:rsidRDefault="00BC4CE1" w:rsidP="00475495">
      <w:pPr>
        <w:ind w:firstLine="720"/>
        <w:jc w:val="both"/>
        <w:rPr>
          <w:b/>
          <w:kern w:val="1"/>
        </w:rPr>
      </w:pPr>
    </w:p>
    <w:p w:rsidR="00C967DD" w:rsidRDefault="003B4E95" w:rsidP="00E35AAB">
      <w:pPr>
        <w:pStyle w:val="Textbeitrauku"/>
        <w:tabs>
          <w:tab w:val="left" w:pos="1843"/>
          <w:tab w:val="left" w:pos="8505"/>
        </w:tabs>
        <w:ind w:firstLine="720"/>
        <w:rPr>
          <w:szCs w:val="24"/>
        </w:rPr>
      </w:pPr>
      <w:r w:rsidRPr="00E65EF7">
        <w:rPr>
          <w:szCs w:val="24"/>
        </w:rPr>
        <w:t xml:space="preserve">Vertinant </w:t>
      </w:r>
      <w:r w:rsidR="002943FD" w:rsidRPr="00E65EF7">
        <w:rPr>
          <w:szCs w:val="24"/>
        </w:rPr>
        <w:t>20</w:t>
      </w:r>
      <w:r w:rsidR="00DF75EF" w:rsidRPr="00E65EF7">
        <w:rPr>
          <w:szCs w:val="24"/>
        </w:rPr>
        <w:t>2</w:t>
      </w:r>
      <w:r w:rsidR="00BB62F2">
        <w:rPr>
          <w:szCs w:val="24"/>
        </w:rPr>
        <w:t>2</w:t>
      </w:r>
      <w:r w:rsidR="002943FD" w:rsidRPr="00E65EF7">
        <w:rPr>
          <w:szCs w:val="24"/>
        </w:rPr>
        <w:t>–202</w:t>
      </w:r>
      <w:r w:rsidR="00BB62F2">
        <w:rPr>
          <w:szCs w:val="24"/>
        </w:rPr>
        <w:t>4</w:t>
      </w:r>
      <w:r w:rsidR="002943FD" w:rsidRPr="00E65EF7">
        <w:rPr>
          <w:szCs w:val="24"/>
        </w:rPr>
        <w:t xml:space="preserve"> m</w:t>
      </w:r>
      <w:r w:rsidR="006E6B2D" w:rsidRPr="00E65EF7">
        <w:rPr>
          <w:szCs w:val="24"/>
        </w:rPr>
        <w:t xml:space="preserve">. </w:t>
      </w:r>
      <w:r w:rsidR="002943FD" w:rsidRPr="00E65EF7">
        <w:rPr>
          <w:szCs w:val="24"/>
        </w:rPr>
        <w:t xml:space="preserve">Veiklos planą pagal </w:t>
      </w:r>
      <w:r w:rsidRPr="00E65EF7">
        <w:rPr>
          <w:szCs w:val="24"/>
        </w:rPr>
        <w:t>finansavimo šaltinius, asignavimai pasiskirsto taip:</w:t>
      </w:r>
    </w:p>
    <w:p w:rsidR="006D4358" w:rsidRDefault="006D4358" w:rsidP="00E35AAB">
      <w:pPr>
        <w:pStyle w:val="Textbeitrauku"/>
        <w:tabs>
          <w:tab w:val="left" w:pos="1843"/>
          <w:tab w:val="left" w:pos="8505"/>
        </w:tabs>
        <w:ind w:firstLine="720"/>
        <w:rPr>
          <w:szCs w:val="24"/>
        </w:rPr>
      </w:pPr>
    </w:p>
    <w:p w:rsidR="00D977A3" w:rsidRPr="00E65EF7" w:rsidRDefault="00D977A3" w:rsidP="00E35AAB">
      <w:pPr>
        <w:pStyle w:val="Textbeitrauku"/>
        <w:tabs>
          <w:tab w:val="left" w:pos="1843"/>
          <w:tab w:val="left" w:pos="8505"/>
        </w:tabs>
        <w:ind w:firstLine="720"/>
        <w:rPr>
          <w:szCs w:val="24"/>
        </w:rPr>
      </w:pPr>
    </w:p>
    <w:tbl>
      <w:tblPr>
        <w:tblW w:w="9698" w:type="dxa"/>
        <w:tblInd w:w="-5" w:type="dxa"/>
        <w:tblLook w:val="04A0" w:firstRow="1" w:lastRow="0" w:firstColumn="1" w:lastColumn="0" w:noHBand="0" w:noVBand="1"/>
      </w:tblPr>
      <w:tblGrid>
        <w:gridCol w:w="5363"/>
        <w:gridCol w:w="1333"/>
        <w:gridCol w:w="1390"/>
        <w:gridCol w:w="1390"/>
        <w:gridCol w:w="222"/>
      </w:tblGrid>
      <w:tr w:rsidR="00E65EF7" w:rsidRPr="001D5487" w:rsidTr="001D5487">
        <w:trPr>
          <w:gridAfter w:val="1"/>
          <w:wAfter w:w="222" w:type="dxa"/>
          <w:trHeight w:val="255"/>
        </w:trPr>
        <w:tc>
          <w:tcPr>
            <w:tcW w:w="536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65EF7" w:rsidRPr="001D5487" w:rsidRDefault="00E65EF7">
            <w:pPr>
              <w:jc w:val="center"/>
              <w:rPr>
                <w:b/>
                <w:bCs/>
                <w:sz w:val="20"/>
                <w:szCs w:val="20"/>
                <w:lang w:eastAsia="lt-LT"/>
              </w:rPr>
            </w:pPr>
            <w:r w:rsidRPr="001D5487">
              <w:rPr>
                <w:b/>
                <w:bCs/>
                <w:sz w:val="20"/>
                <w:szCs w:val="20"/>
              </w:rPr>
              <w:t>Finansavimo šaltinis</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65EF7" w:rsidRPr="001D5487" w:rsidRDefault="00E65EF7">
            <w:pPr>
              <w:jc w:val="center"/>
              <w:rPr>
                <w:b/>
                <w:bCs/>
                <w:sz w:val="20"/>
                <w:szCs w:val="20"/>
              </w:rPr>
            </w:pPr>
            <w:r w:rsidRPr="001D5487">
              <w:rPr>
                <w:b/>
                <w:bCs/>
                <w:sz w:val="20"/>
                <w:szCs w:val="20"/>
              </w:rPr>
              <w:t>Numatomi   2021-ųjų m. asignavimai (tūkst. Eur)</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65EF7" w:rsidRPr="001D5487" w:rsidRDefault="00E65EF7">
            <w:pPr>
              <w:jc w:val="center"/>
              <w:rPr>
                <w:b/>
                <w:bCs/>
                <w:sz w:val="20"/>
                <w:szCs w:val="20"/>
              </w:rPr>
            </w:pPr>
            <w:r w:rsidRPr="001D5487">
              <w:rPr>
                <w:b/>
                <w:bCs/>
                <w:sz w:val="20"/>
                <w:szCs w:val="20"/>
              </w:rPr>
              <w:t>Numatomi   2022-ųjų m. asignavimai (tūkst. Eur)</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65EF7" w:rsidRPr="001D5487" w:rsidRDefault="00E65EF7">
            <w:pPr>
              <w:jc w:val="center"/>
              <w:rPr>
                <w:b/>
                <w:bCs/>
                <w:sz w:val="20"/>
                <w:szCs w:val="20"/>
              </w:rPr>
            </w:pPr>
            <w:r w:rsidRPr="001D5487">
              <w:rPr>
                <w:b/>
                <w:bCs/>
                <w:sz w:val="20"/>
                <w:szCs w:val="20"/>
              </w:rPr>
              <w:t>Numatomi   2023-ųjų m. asignavimai (tūkst. Eur)</w:t>
            </w:r>
          </w:p>
        </w:tc>
      </w:tr>
      <w:tr w:rsidR="00E65EF7" w:rsidRPr="001D5487" w:rsidTr="001D5487">
        <w:trPr>
          <w:trHeight w:val="255"/>
        </w:trPr>
        <w:tc>
          <w:tcPr>
            <w:tcW w:w="536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222" w:type="dxa"/>
            <w:tcBorders>
              <w:top w:val="nil"/>
              <w:left w:val="nil"/>
              <w:bottom w:val="nil"/>
              <w:right w:val="nil"/>
            </w:tcBorders>
            <w:shd w:val="clear" w:color="auto" w:fill="auto"/>
            <w:noWrap/>
            <w:vAlign w:val="bottom"/>
            <w:hideMark/>
          </w:tcPr>
          <w:p w:rsidR="00E65EF7" w:rsidRPr="001D5487" w:rsidRDefault="00E65EF7">
            <w:pPr>
              <w:jc w:val="center"/>
              <w:rPr>
                <w:b/>
                <w:bCs/>
                <w:sz w:val="20"/>
                <w:szCs w:val="20"/>
              </w:rPr>
            </w:pPr>
          </w:p>
        </w:tc>
      </w:tr>
      <w:tr w:rsidR="00E65EF7" w:rsidRPr="001D5487" w:rsidTr="001D5487">
        <w:trPr>
          <w:trHeight w:val="255"/>
        </w:trPr>
        <w:tc>
          <w:tcPr>
            <w:tcW w:w="536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222" w:type="dxa"/>
            <w:tcBorders>
              <w:top w:val="nil"/>
              <w:left w:val="nil"/>
              <w:bottom w:val="nil"/>
              <w:right w:val="nil"/>
            </w:tcBorders>
            <w:shd w:val="clear" w:color="auto" w:fill="auto"/>
            <w:noWrap/>
            <w:vAlign w:val="bottom"/>
            <w:hideMark/>
          </w:tcPr>
          <w:p w:rsidR="00E65EF7" w:rsidRPr="001D5487" w:rsidRDefault="00E65EF7">
            <w:pPr>
              <w:rPr>
                <w:sz w:val="20"/>
                <w:szCs w:val="20"/>
              </w:rPr>
            </w:pPr>
          </w:p>
        </w:tc>
      </w:tr>
      <w:tr w:rsidR="00E65EF7" w:rsidRPr="001D5487" w:rsidTr="001D5487">
        <w:trPr>
          <w:trHeight w:val="255"/>
        </w:trPr>
        <w:tc>
          <w:tcPr>
            <w:tcW w:w="536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222" w:type="dxa"/>
            <w:tcBorders>
              <w:top w:val="nil"/>
              <w:left w:val="nil"/>
              <w:bottom w:val="nil"/>
              <w:right w:val="nil"/>
            </w:tcBorders>
            <w:shd w:val="clear" w:color="auto" w:fill="auto"/>
            <w:noWrap/>
            <w:vAlign w:val="bottom"/>
            <w:hideMark/>
          </w:tcPr>
          <w:p w:rsidR="00E65EF7" w:rsidRPr="001D5487" w:rsidRDefault="00E65EF7">
            <w:pPr>
              <w:rPr>
                <w:sz w:val="20"/>
                <w:szCs w:val="20"/>
              </w:rPr>
            </w:pPr>
          </w:p>
        </w:tc>
      </w:tr>
      <w:tr w:rsidR="00E65EF7" w:rsidRPr="001D5487" w:rsidTr="00047717">
        <w:trPr>
          <w:trHeight w:val="64"/>
        </w:trPr>
        <w:tc>
          <w:tcPr>
            <w:tcW w:w="536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E65EF7" w:rsidRPr="001D5487" w:rsidRDefault="00E65EF7">
            <w:pPr>
              <w:rPr>
                <w:b/>
                <w:bCs/>
                <w:sz w:val="20"/>
                <w:szCs w:val="20"/>
              </w:rPr>
            </w:pPr>
          </w:p>
        </w:tc>
        <w:tc>
          <w:tcPr>
            <w:tcW w:w="222" w:type="dxa"/>
            <w:tcBorders>
              <w:top w:val="nil"/>
              <w:left w:val="nil"/>
              <w:bottom w:val="nil"/>
              <w:right w:val="nil"/>
            </w:tcBorders>
            <w:shd w:val="clear" w:color="auto" w:fill="auto"/>
            <w:noWrap/>
            <w:vAlign w:val="bottom"/>
            <w:hideMark/>
          </w:tcPr>
          <w:p w:rsidR="00E65EF7" w:rsidRPr="001D5487" w:rsidRDefault="00E65EF7">
            <w:pPr>
              <w:rPr>
                <w:sz w:val="20"/>
                <w:szCs w:val="20"/>
              </w:rPr>
            </w:pPr>
          </w:p>
        </w:tc>
      </w:tr>
      <w:tr w:rsidR="009661A3" w:rsidRPr="001D5487" w:rsidTr="001D5487">
        <w:trPr>
          <w:trHeight w:val="405"/>
        </w:trPr>
        <w:tc>
          <w:tcPr>
            <w:tcW w:w="5363" w:type="dxa"/>
            <w:tcBorders>
              <w:top w:val="single" w:sz="4" w:space="0" w:color="auto"/>
              <w:left w:val="single" w:sz="4" w:space="0" w:color="auto"/>
              <w:bottom w:val="single" w:sz="4" w:space="0" w:color="auto"/>
              <w:right w:val="single" w:sz="4" w:space="0" w:color="000000"/>
            </w:tcBorders>
            <w:shd w:val="clear" w:color="000000" w:fill="FCD5B4"/>
            <w:hideMark/>
          </w:tcPr>
          <w:p w:rsidR="009661A3" w:rsidRPr="001D5487" w:rsidRDefault="009661A3" w:rsidP="009661A3">
            <w:pPr>
              <w:jc w:val="right"/>
              <w:rPr>
                <w:b/>
                <w:bCs/>
                <w:sz w:val="20"/>
                <w:szCs w:val="20"/>
              </w:rPr>
            </w:pPr>
            <w:r w:rsidRPr="001D5487">
              <w:rPr>
                <w:b/>
                <w:bCs/>
                <w:sz w:val="20"/>
                <w:szCs w:val="20"/>
              </w:rPr>
              <w:t>IŠ VISO PROGRAMOMS</w:t>
            </w:r>
          </w:p>
        </w:tc>
        <w:tc>
          <w:tcPr>
            <w:tcW w:w="1333"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97 096,3</w:t>
            </w:r>
          </w:p>
        </w:tc>
        <w:tc>
          <w:tcPr>
            <w:tcW w:w="1390"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97 184,3</w:t>
            </w:r>
          </w:p>
        </w:tc>
        <w:tc>
          <w:tcPr>
            <w:tcW w:w="1390"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96 804,4</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8" w:space="0" w:color="auto"/>
              <w:bottom w:val="single" w:sz="4" w:space="0" w:color="auto"/>
              <w:right w:val="single" w:sz="4" w:space="0" w:color="000000"/>
            </w:tcBorders>
            <w:shd w:val="clear" w:color="000000" w:fill="FFFFFF"/>
            <w:hideMark/>
          </w:tcPr>
          <w:p w:rsidR="009661A3" w:rsidRPr="001D5487" w:rsidRDefault="009661A3" w:rsidP="009661A3">
            <w:pPr>
              <w:jc w:val="right"/>
              <w:rPr>
                <w:b/>
                <w:bCs/>
                <w:sz w:val="20"/>
                <w:szCs w:val="20"/>
              </w:rPr>
            </w:pPr>
            <w:r w:rsidRPr="001D5487">
              <w:rPr>
                <w:b/>
                <w:bCs/>
                <w:sz w:val="20"/>
                <w:szCs w:val="20"/>
              </w:rPr>
              <w:t>Finansavimo šaltiniai</w:t>
            </w:r>
          </w:p>
        </w:tc>
        <w:tc>
          <w:tcPr>
            <w:tcW w:w="1333" w:type="dxa"/>
            <w:tcBorders>
              <w:top w:val="nil"/>
              <w:left w:val="nil"/>
              <w:bottom w:val="single" w:sz="4" w:space="0" w:color="auto"/>
              <w:right w:val="single" w:sz="4" w:space="0" w:color="auto"/>
            </w:tcBorders>
            <w:shd w:val="clear" w:color="000000" w:fill="FFFFFF"/>
          </w:tcPr>
          <w:p w:rsidR="009661A3" w:rsidRPr="009661A3" w:rsidRDefault="009661A3" w:rsidP="009661A3">
            <w:pPr>
              <w:jc w:val="right"/>
              <w:rPr>
                <w:sz w:val="22"/>
                <w:szCs w:val="22"/>
              </w:rPr>
            </w:pPr>
          </w:p>
        </w:tc>
        <w:tc>
          <w:tcPr>
            <w:tcW w:w="1390" w:type="dxa"/>
            <w:tcBorders>
              <w:top w:val="nil"/>
              <w:left w:val="nil"/>
              <w:bottom w:val="single" w:sz="4" w:space="0" w:color="auto"/>
              <w:right w:val="single" w:sz="4" w:space="0" w:color="auto"/>
            </w:tcBorders>
            <w:shd w:val="clear" w:color="000000" w:fill="FFFFFF"/>
          </w:tcPr>
          <w:p w:rsidR="009661A3" w:rsidRPr="009661A3" w:rsidRDefault="009661A3" w:rsidP="009661A3">
            <w:pPr>
              <w:jc w:val="right"/>
              <w:rPr>
                <w:sz w:val="22"/>
                <w:szCs w:val="22"/>
              </w:rPr>
            </w:pPr>
          </w:p>
        </w:tc>
        <w:tc>
          <w:tcPr>
            <w:tcW w:w="1390" w:type="dxa"/>
            <w:tcBorders>
              <w:top w:val="nil"/>
              <w:left w:val="nil"/>
              <w:bottom w:val="single" w:sz="4" w:space="0" w:color="auto"/>
              <w:right w:val="single" w:sz="4" w:space="0" w:color="auto"/>
            </w:tcBorders>
            <w:shd w:val="clear" w:color="000000" w:fill="FFFFFF"/>
          </w:tcPr>
          <w:p w:rsidR="009661A3" w:rsidRPr="009661A3" w:rsidRDefault="009661A3" w:rsidP="009661A3">
            <w:pPr>
              <w:jc w:val="right"/>
              <w:rPr>
                <w:sz w:val="22"/>
                <w:szCs w:val="22"/>
              </w:rPr>
            </w:pPr>
          </w:p>
        </w:tc>
        <w:tc>
          <w:tcPr>
            <w:tcW w:w="222" w:type="dxa"/>
            <w:vAlign w:val="center"/>
            <w:hideMark/>
          </w:tcPr>
          <w:p w:rsidR="009661A3" w:rsidRPr="001D5487" w:rsidRDefault="009661A3" w:rsidP="009661A3">
            <w:pPr>
              <w:rPr>
                <w:sz w:val="20"/>
                <w:szCs w:val="20"/>
              </w:rPr>
            </w:pPr>
          </w:p>
        </w:tc>
      </w:tr>
      <w:tr w:rsidR="009661A3" w:rsidRPr="001D5487" w:rsidTr="001D5487">
        <w:trPr>
          <w:trHeight w:val="420"/>
        </w:trPr>
        <w:tc>
          <w:tcPr>
            <w:tcW w:w="5363" w:type="dxa"/>
            <w:tcBorders>
              <w:top w:val="single" w:sz="4" w:space="0" w:color="auto"/>
              <w:left w:val="single" w:sz="4" w:space="0" w:color="auto"/>
              <w:bottom w:val="single" w:sz="4" w:space="0" w:color="auto"/>
              <w:right w:val="single" w:sz="4" w:space="0" w:color="000000"/>
            </w:tcBorders>
            <w:shd w:val="clear" w:color="FFFFFF" w:fill="FCD5B4"/>
            <w:hideMark/>
          </w:tcPr>
          <w:p w:rsidR="009661A3" w:rsidRPr="001D5487" w:rsidRDefault="009661A3" w:rsidP="009661A3">
            <w:pPr>
              <w:jc w:val="right"/>
              <w:rPr>
                <w:b/>
                <w:bCs/>
                <w:sz w:val="20"/>
                <w:szCs w:val="20"/>
              </w:rPr>
            </w:pPr>
            <w:r w:rsidRPr="001D5487">
              <w:rPr>
                <w:b/>
                <w:bCs/>
                <w:sz w:val="20"/>
                <w:szCs w:val="20"/>
              </w:rPr>
              <w:t>SAVIVALDYBĖS LĖŠOS</w:t>
            </w:r>
          </w:p>
        </w:tc>
        <w:tc>
          <w:tcPr>
            <w:tcW w:w="1333"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74 832,3</w:t>
            </w:r>
          </w:p>
        </w:tc>
        <w:tc>
          <w:tcPr>
            <w:tcW w:w="1390"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79 906,0</w:t>
            </w:r>
          </w:p>
        </w:tc>
        <w:tc>
          <w:tcPr>
            <w:tcW w:w="1390" w:type="dxa"/>
            <w:tcBorders>
              <w:top w:val="nil"/>
              <w:left w:val="nil"/>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81 124,1</w:t>
            </w:r>
          </w:p>
        </w:tc>
        <w:tc>
          <w:tcPr>
            <w:tcW w:w="222" w:type="dxa"/>
            <w:vAlign w:val="center"/>
            <w:hideMark/>
          </w:tcPr>
          <w:p w:rsidR="009661A3" w:rsidRPr="001D5487" w:rsidRDefault="009661A3" w:rsidP="009661A3">
            <w:pPr>
              <w:rPr>
                <w:sz w:val="20"/>
                <w:szCs w:val="20"/>
              </w:rPr>
            </w:pPr>
          </w:p>
        </w:tc>
      </w:tr>
      <w:tr w:rsidR="009661A3" w:rsidRPr="001D5487" w:rsidTr="001D5487">
        <w:trPr>
          <w:trHeight w:val="37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Savivaldybės biudžetas</w:t>
            </w:r>
            <w:r w:rsidRPr="001D5487">
              <w:rPr>
                <w:b/>
                <w:bCs/>
                <w:sz w:val="20"/>
                <w:szCs w:val="20"/>
              </w:rPr>
              <w:t xml:space="preserve"> SB</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41 767,2</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45 041,8</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47 287,1</w:t>
            </w:r>
          </w:p>
        </w:tc>
        <w:tc>
          <w:tcPr>
            <w:tcW w:w="222" w:type="dxa"/>
            <w:vAlign w:val="center"/>
            <w:hideMark/>
          </w:tcPr>
          <w:p w:rsidR="009661A3" w:rsidRPr="001D5487" w:rsidRDefault="009661A3" w:rsidP="009661A3">
            <w:pPr>
              <w:rPr>
                <w:sz w:val="20"/>
                <w:szCs w:val="20"/>
              </w:rPr>
            </w:pPr>
          </w:p>
        </w:tc>
      </w:tr>
      <w:tr w:rsidR="009661A3" w:rsidRPr="001D5487" w:rsidTr="001D5487">
        <w:trPr>
          <w:trHeight w:val="300"/>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Valstybės biudžeto specialiosios tikslinės dotacijos lėšos </w:t>
            </w:r>
            <w:r w:rsidRPr="001D5487">
              <w:rPr>
                <w:b/>
                <w:bCs/>
                <w:sz w:val="20"/>
                <w:szCs w:val="20"/>
              </w:rPr>
              <w:t>SBVB</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26 155,0</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26 645,5</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26 986,3</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Aplinkos apsaugos rėmimo specialiosios programos lėšos </w:t>
            </w:r>
            <w:r w:rsidRPr="001D5487">
              <w:rPr>
                <w:b/>
                <w:bCs/>
                <w:sz w:val="20"/>
                <w:szCs w:val="20"/>
              </w:rPr>
              <w:t>AA</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455,5</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426,5</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421,5</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Iš pajamų už suteiktas paslaugas lėšos </w:t>
            </w:r>
            <w:r w:rsidRPr="001D5487">
              <w:rPr>
                <w:b/>
                <w:bCs/>
                <w:sz w:val="20"/>
                <w:szCs w:val="20"/>
              </w:rPr>
              <w:t>ĮP</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1 884,9</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1 889,6</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1 893,6</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Skolintos lėšos</w:t>
            </w:r>
            <w:r w:rsidRPr="001D5487">
              <w:rPr>
                <w:b/>
                <w:bCs/>
                <w:sz w:val="20"/>
                <w:szCs w:val="20"/>
              </w:rPr>
              <w:t xml:space="preserve"> SK</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1 569,7</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2 902,6</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1 415,6</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auto"/>
            </w:tcBorders>
            <w:shd w:val="clear" w:color="auto" w:fill="auto"/>
            <w:hideMark/>
          </w:tcPr>
          <w:p w:rsidR="009661A3" w:rsidRPr="001D5487" w:rsidRDefault="009661A3" w:rsidP="009661A3">
            <w:pPr>
              <w:rPr>
                <w:sz w:val="20"/>
                <w:szCs w:val="20"/>
              </w:rPr>
            </w:pPr>
            <w:r w:rsidRPr="001D5487">
              <w:rPr>
                <w:sz w:val="20"/>
                <w:szCs w:val="20"/>
              </w:rPr>
              <w:t xml:space="preserve">Kelių priežiūros ir plėtros programos lėšos </w:t>
            </w:r>
            <w:r w:rsidRPr="001D5487">
              <w:rPr>
                <w:b/>
                <w:bCs/>
                <w:sz w:val="20"/>
                <w:szCs w:val="20"/>
              </w:rPr>
              <w:t>KPP</w:t>
            </w:r>
          </w:p>
        </w:tc>
        <w:tc>
          <w:tcPr>
            <w:tcW w:w="1333" w:type="dxa"/>
            <w:tcBorders>
              <w:top w:val="single" w:sz="4" w:space="0" w:color="auto"/>
              <w:left w:val="single" w:sz="4" w:space="0" w:color="auto"/>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3 000,0</w:t>
            </w:r>
          </w:p>
        </w:tc>
        <w:tc>
          <w:tcPr>
            <w:tcW w:w="1390" w:type="dxa"/>
            <w:tcBorders>
              <w:top w:val="single" w:sz="4" w:space="0" w:color="auto"/>
              <w:left w:val="single" w:sz="4" w:space="0" w:color="auto"/>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3 000,0</w:t>
            </w:r>
          </w:p>
        </w:tc>
        <w:tc>
          <w:tcPr>
            <w:tcW w:w="1390" w:type="dxa"/>
            <w:tcBorders>
              <w:top w:val="single" w:sz="4" w:space="0" w:color="auto"/>
              <w:left w:val="single" w:sz="4" w:space="0" w:color="auto"/>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3 120,0</w:t>
            </w:r>
          </w:p>
        </w:tc>
        <w:tc>
          <w:tcPr>
            <w:tcW w:w="222" w:type="dxa"/>
            <w:vAlign w:val="center"/>
            <w:hideMark/>
          </w:tcPr>
          <w:p w:rsidR="009661A3" w:rsidRPr="001D5487" w:rsidRDefault="009661A3" w:rsidP="009661A3">
            <w:pPr>
              <w:rPr>
                <w:sz w:val="20"/>
                <w:szCs w:val="20"/>
              </w:rPr>
            </w:pPr>
          </w:p>
        </w:tc>
      </w:tr>
      <w:tr w:rsidR="009661A3" w:rsidRPr="001D5487" w:rsidTr="001D5487">
        <w:trPr>
          <w:trHeight w:val="330"/>
        </w:trPr>
        <w:tc>
          <w:tcPr>
            <w:tcW w:w="5363" w:type="dxa"/>
            <w:tcBorders>
              <w:top w:val="single" w:sz="4" w:space="0" w:color="auto"/>
              <w:left w:val="single" w:sz="4" w:space="0" w:color="auto"/>
              <w:bottom w:val="single" w:sz="4" w:space="0" w:color="auto"/>
              <w:right w:val="single" w:sz="4" w:space="0" w:color="auto"/>
            </w:tcBorders>
            <w:shd w:val="clear" w:color="000000" w:fill="FCD5B4"/>
            <w:hideMark/>
          </w:tcPr>
          <w:p w:rsidR="009661A3" w:rsidRPr="001D5487" w:rsidRDefault="009661A3" w:rsidP="009661A3">
            <w:pPr>
              <w:jc w:val="right"/>
              <w:rPr>
                <w:b/>
                <w:bCs/>
                <w:sz w:val="20"/>
                <w:szCs w:val="20"/>
              </w:rPr>
            </w:pPr>
            <w:r w:rsidRPr="001D5487">
              <w:rPr>
                <w:b/>
                <w:bCs/>
                <w:sz w:val="20"/>
                <w:szCs w:val="20"/>
              </w:rPr>
              <w:t>KITOS LĖŠOS</w:t>
            </w:r>
          </w:p>
        </w:tc>
        <w:tc>
          <w:tcPr>
            <w:tcW w:w="1333" w:type="dxa"/>
            <w:tcBorders>
              <w:top w:val="single" w:sz="4" w:space="0" w:color="auto"/>
              <w:left w:val="single" w:sz="4" w:space="0" w:color="auto"/>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22 264,0</w:t>
            </w:r>
          </w:p>
        </w:tc>
        <w:tc>
          <w:tcPr>
            <w:tcW w:w="1390" w:type="dxa"/>
            <w:tcBorders>
              <w:top w:val="single" w:sz="4" w:space="0" w:color="auto"/>
              <w:left w:val="single" w:sz="4" w:space="0" w:color="auto"/>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17 278,3</w:t>
            </w:r>
          </w:p>
        </w:tc>
        <w:tc>
          <w:tcPr>
            <w:tcW w:w="1390" w:type="dxa"/>
            <w:tcBorders>
              <w:top w:val="single" w:sz="4" w:space="0" w:color="auto"/>
              <w:left w:val="single" w:sz="4" w:space="0" w:color="auto"/>
              <w:bottom w:val="single" w:sz="4" w:space="0" w:color="auto"/>
              <w:right w:val="single" w:sz="4" w:space="0" w:color="auto"/>
            </w:tcBorders>
            <w:shd w:val="clear" w:color="000000" w:fill="FCD5B4"/>
            <w:hideMark/>
          </w:tcPr>
          <w:p w:rsidR="009661A3" w:rsidRPr="009661A3" w:rsidRDefault="009661A3" w:rsidP="009661A3">
            <w:pPr>
              <w:jc w:val="right"/>
              <w:rPr>
                <w:b/>
                <w:sz w:val="22"/>
                <w:szCs w:val="22"/>
              </w:rPr>
            </w:pPr>
            <w:r w:rsidRPr="009661A3">
              <w:rPr>
                <w:b/>
                <w:sz w:val="22"/>
                <w:szCs w:val="22"/>
              </w:rPr>
              <w:t>15 680,3</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Europos Sąjungos lėšos, užsienio fondų lėšos </w:t>
            </w:r>
            <w:r w:rsidRPr="001D5487">
              <w:rPr>
                <w:b/>
                <w:bCs/>
                <w:sz w:val="20"/>
                <w:szCs w:val="20"/>
              </w:rPr>
              <w:t>ES</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4 580,2</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1 348,2</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1 470,2</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Valstybės biudžeto lėšos </w:t>
            </w:r>
            <w:r w:rsidRPr="001D5487">
              <w:rPr>
                <w:b/>
                <w:bCs/>
                <w:sz w:val="20"/>
                <w:szCs w:val="20"/>
              </w:rPr>
              <w:t>VB</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16 431,7</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15 158,4</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13 675,4</w:t>
            </w:r>
          </w:p>
        </w:tc>
        <w:tc>
          <w:tcPr>
            <w:tcW w:w="222" w:type="dxa"/>
            <w:vAlign w:val="center"/>
            <w:hideMark/>
          </w:tcPr>
          <w:p w:rsidR="009661A3" w:rsidRPr="001D5487" w:rsidRDefault="009661A3" w:rsidP="009661A3">
            <w:pPr>
              <w:rPr>
                <w:sz w:val="20"/>
                <w:szCs w:val="20"/>
              </w:rPr>
            </w:pPr>
          </w:p>
        </w:tc>
      </w:tr>
      <w:tr w:rsidR="009661A3" w:rsidRPr="001D5487" w:rsidTr="001D5487">
        <w:trPr>
          <w:trHeight w:val="315"/>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Privačios – investuotojų lėšos </w:t>
            </w:r>
            <w:r w:rsidRPr="001D5487">
              <w:rPr>
                <w:b/>
                <w:bCs/>
                <w:sz w:val="20"/>
                <w:szCs w:val="20"/>
              </w:rPr>
              <w:t>PR</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1 215,9</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771,7</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534,7</w:t>
            </w:r>
          </w:p>
        </w:tc>
        <w:tc>
          <w:tcPr>
            <w:tcW w:w="222" w:type="dxa"/>
            <w:vAlign w:val="center"/>
            <w:hideMark/>
          </w:tcPr>
          <w:p w:rsidR="009661A3" w:rsidRPr="001D5487" w:rsidRDefault="009661A3" w:rsidP="009661A3">
            <w:pPr>
              <w:rPr>
                <w:sz w:val="20"/>
                <w:szCs w:val="20"/>
              </w:rPr>
            </w:pPr>
          </w:p>
        </w:tc>
      </w:tr>
      <w:tr w:rsidR="009661A3" w:rsidRPr="001D5487" w:rsidTr="001D5487">
        <w:trPr>
          <w:trHeight w:val="360"/>
        </w:trPr>
        <w:tc>
          <w:tcPr>
            <w:tcW w:w="5363" w:type="dxa"/>
            <w:tcBorders>
              <w:top w:val="single" w:sz="4" w:space="0" w:color="auto"/>
              <w:left w:val="single" w:sz="4" w:space="0" w:color="auto"/>
              <w:bottom w:val="single" w:sz="4" w:space="0" w:color="auto"/>
              <w:right w:val="single" w:sz="4" w:space="0" w:color="000000"/>
            </w:tcBorders>
            <w:shd w:val="clear" w:color="auto" w:fill="auto"/>
            <w:hideMark/>
          </w:tcPr>
          <w:p w:rsidR="009661A3" w:rsidRPr="001D5487" w:rsidRDefault="009661A3" w:rsidP="009661A3">
            <w:pPr>
              <w:rPr>
                <w:sz w:val="20"/>
                <w:szCs w:val="20"/>
              </w:rPr>
            </w:pPr>
            <w:r w:rsidRPr="001D5487">
              <w:rPr>
                <w:sz w:val="20"/>
                <w:szCs w:val="20"/>
              </w:rPr>
              <w:t xml:space="preserve">Kiti finansavimo šaltiniai </w:t>
            </w:r>
            <w:r w:rsidRPr="001D5487">
              <w:rPr>
                <w:b/>
                <w:bCs/>
                <w:sz w:val="20"/>
                <w:szCs w:val="20"/>
              </w:rPr>
              <w:t>KT</w:t>
            </w:r>
          </w:p>
        </w:tc>
        <w:tc>
          <w:tcPr>
            <w:tcW w:w="1333"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36,2</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0,0</w:t>
            </w:r>
          </w:p>
        </w:tc>
        <w:tc>
          <w:tcPr>
            <w:tcW w:w="1390" w:type="dxa"/>
            <w:tcBorders>
              <w:top w:val="nil"/>
              <w:left w:val="nil"/>
              <w:bottom w:val="single" w:sz="4" w:space="0" w:color="auto"/>
              <w:right w:val="single" w:sz="4" w:space="0" w:color="auto"/>
            </w:tcBorders>
            <w:shd w:val="clear" w:color="000000" w:fill="FFFFFF"/>
            <w:hideMark/>
          </w:tcPr>
          <w:p w:rsidR="009661A3" w:rsidRPr="009661A3" w:rsidRDefault="009661A3" w:rsidP="009661A3">
            <w:pPr>
              <w:jc w:val="right"/>
              <w:rPr>
                <w:sz w:val="22"/>
                <w:szCs w:val="22"/>
              </w:rPr>
            </w:pPr>
            <w:r w:rsidRPr="009661A3">
              <w:rPr>
                <w:sz w:val="22"/>
                <w:szCs w:val="22"/>
              </w:rPr>
              <w:t>0,0</w:t>
            </w:r>
          </w:p>
        </w:tc>
        <w:tc>
          <w:tcPr>
            <w:tcW w:w="222" w:type="dxa"/>
            <w:vAlign w:val="center"/>
            <w:hideMark/>
          </w:tcPr>
          <w:p w:rsidR="009661A3" w:rsidRPr="001D5487" w:rsidRDefault="009661A3" w:rsidP="009661A3">
            <w:pPr>
              <w:rPr>
                <w:sz w:val="20"/>
                <w:szCs w:val="20"/>
              </w:rPr>
            </w:pPr>
          </w:p>
        </w:tc>
      </w:tr>
    </w:tbl>
    <w:p w:rsidR="001F1F3D" w:rsidRDefault="001F1F3D" w:rsidP="0086597F">
      <w:pPr>
        <w:ind w:firstLine="720"/>
        <w:jc w:val="both"/>
        <w:rPr>
          <w:kern w:val="1"/>
        </w:rPr>
      </w:pPr>
    </w:p>
    <w:p w:rsidR="0073097B" w:rsidRDefault="00D77752" w:rsidP="0086597F">
      <w:pPr>
        <w:ind w:firstLine="720"/>
        <w:jc w:val="both"/>
      </w:pPr>
      <w:r w:rsidRPr="00D77752">
        <w:rPr>
          <w:kern w:val="1"/>
        </w:rPr>
        <w:t xml:space="preserve">Planuojama, kad </w:t>
      </w:r>
      <w:r w:rsidR="006820F1">
        <w:rPr>
          <w:kern w:val="1"/>
        </w:rPr>
        <w:t>20</w:t>
      </w:r>
      <w:r w:rsidR="009E2591">
        <w:rPr>
          <w:kern w:val="1"/>
        </w:rPr>
        <w:t>2</w:t>
      </w:r>
      <w:r w:rsidR="00B7526E">
        <w:rPr>
          <w:kern w:val="1"/>
        </w:rPr>
        <w:t>2</w:t>
      </w:r>
      <w:r w:rsidR="006820F1">
        <w:rPr>
          <w:kern w:val="1"/>
        </w:rPr>
        <w:t xml:space="preserve"> m.</w:t>
      </w:r>
      <w:r>
        <w:rPr>
          <w:kern w:val="1"/>
        </w:rPr>
        <w:t xml:space="preserve"> </w:t>
      </w:r>
      <w:r w:rsidR="0086597F" w:rsidRPr="00AC30B6">
        <w:rPr>
          <w:kern w:val="1"/>
        </w:rPr>
        <w:t xml:space="preserve">laikotarpiu </w:t>
      </w:r>
      <w:r w:rsidR="00C52599">
        <w:rPr>
          <w:b/>
        </w:rPr>
        <w:t xml:space="preserve">beveik 41,8 mln. Eur </w:t>
      </w:r>
      <w:r w:rsidR="00C52599">
        <w:t xml:space="preserve">arba </w:t>
      </w:r>
      <w:r w:rsidR="00EB40B5">
        <w:rPr>
          <w:b/>
        </w:rPr>
        <w:t>43,2</w:t>
      </w:r>
      <w:r w:rsidRPr="00AC30B6">
        <w:rPr>
          <w:b/>
        </w:rPr>
        <w:t xml:space="preserve"> proc.</w:t>
      </w:r>
      <w:r w:rsidR="00EB40B5">
        <w:rPr>
          <w:b/>
        </w:rPr>
        <w:t xml:space="preserve"> </w:t>
      </w:r>
      <w:r w:rsidRPr="00AC30B6">
        <w:t>visų asignavimų sudar</w:t>
      </w:r>
      <w:r w:rsidR="00A649E6" w:rsidRPr="00AC30B6">
        <w:t>ys</w:t>
      </w:r>
      <w:r w:rsidRPr="00AC30B6">
        <w:t xml:space="preserve"> </w:t>
      </w:r>
      <w:r w:rsidRPr="00AC30B6">
        <w:rPr>
          <w:b/>
        </w:rPr>
        <w:t>Savivaldybės biudžeto lėšos</w:t>
      </w:r>
      <w:r w:rsidR="0086597F" w:rsidRPr="00AC30B6">
        <w:rPr>
          <w:b/>
        </w:rPr>
        <w:t xml:space="preserve"> (SB)</w:t>
      </w:r>
      <w:r w:rsidR="00EB40B5">
        <w:t xml:space="preserve">. </w:t>
      </w:r>
    </w:p>
    <w:p w:rsidR="0073097B" w:rsidRDefault="0073097B" w:rsidP="0086597F">
      <w:pPr>
        <w:ind w:firstLine="720"/>
        <w:jc w:val="both"/>
      </w:pPr>
    </w:p>
    <w:tbl>
      <w:tblPr>
        <w:tblStyle w:val="Lentelstinklelis"/>
        <w:tblpPr w:leftFromText="180" w:rightFromText="180" w:vertAnchor="text" w:horzAnchor="margin" w:tblpY="50"/>
        <w:tblW w:w="0" w:type="auto"/>
        <w:tblLook w:val="04A0" w:firstRow="1" w:lastRow="0" w:firstColumn="1" w:lastColumn="0" w:noHBand="0" w:noVBand="1"/>
      </w:tblPr>
      <w:tblGrid>
        <w:gridCol w:w="9344"/>
      </w:tblGrid>
      <w:tr w:rsidR="0073097B" w:rsidTr="003C32DD">
        <w:tc>
          <w:tcPr>
            <w:tcW w:w="9344" w:type="dxa"/>
          </w:tcPr>
          <w:p w:rsidR="0073097B" w:rsidRPr="0073097B" w:rsidRDefault="00047717" w:rsidP="00047717">
            <w:pPr>
              <w:jc w:val="center"/>
              <w:rPr>
                <w:b/>
              </w:rPr>
            </w:pPr>
            <w:r>
              <w:rPr>
                <w:b/>
              </w:rPr>
              <w:t>Savivaldybės biudžeto lėšos 41,8</w:t>
            </w:r>
            <w:r w:rsidR="0073097B" w:rsidRPr="0073097B">
              <w:rPr>
                <w:b/>
              </w:rPr>
              <w:t xml:space="preserve"> mln. Eur</w:t>
            </w:r>
          </w:p>
        </w:tc>
      </w:tr>
    </w:tbl>
    <w:p w:rsidR="0073097B" w:rsidRDefault="003C32DD" w:rsidP="0086597F">
      <w:pPr>
        <w:ind w:firstLine="720"/>
        <w:jc w:val="both"/>
      </w:pPr>
      <w:r w:rsidRPr="006C3598">
        <w:rPr>
          <w:noProof/>
          <w:color w:val="0070C0"/>
          <w:lang w:val="en-US"/>
        </w:rPr>
        <mc:AlternateContent>
          <mc:Choice Requires="wpg">
            <w:drawing>
              <wp:anchor distT="0" distB="0" distL="114300" distR="114300" simplePos="0" relativeHeight="251657216" behindDoc="0" locked="0" layoutInCell="1" allowOverlap="1">
                <wp:simplePos x="0" y="0"/>
                <wp:positionH relativeFrom="column">
                  <wp:posOffset>634365</wp:posOffset>
                </wp:positionH>
                <wp:positionV relativeFrom="paragraph">
                  <wp:posOffset>245745</wp:posOffset>
                </wp:positionV>
                <wp:extent cx="4676775" cy="447675"/>
                <wp:effectExtent l="38100" t="0" r="47625" b="47625"/>
                <wp:wrapNone/>
                <wp:docPr id="6" name="Group 6"/>
                <wp:cNvGraphicFramePr/>
                <a:graphic xmlns:a="http://schemas.openxmlformats.org/drawingml/2006/main">
                  <a:graphicData uri="http://schemas.microsoft.com/office/word/2010/wordprocessingGroup">
                    <wpg:wgp>
                      <wpg:cNvGrpSpPr/>
                      <wpg:grpSpPr>
                        <a:xfrm>
                          <a:off x="0" y="0"/>
                          <a:ext cx="4676775" cy="447675"/>
                          <a:chOff x="0" y="0"/>
                          <a:chExt cx="4676775" cy="619125"/>
                        </a:xfrm>
                      </wpg:grpSpPr>
                      <wps:wsp>
                        <wps:cNvPr id="1" name="Straight Arrow Connector 1"/>
                        <wps:cNvCnPr/>
                        <wps:spPr>
                          <a:xfrm flipH="1">
                            <a:off x="0" y="19050"/>
                            <a:ext cx="220027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flipH="1">
                            <a:off x="1323975" y="28575"/>
                            <a:ext cx="9620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H="1">
                            <a:off x="2362200" y="9525"/>
                            <a:ext cx="45719"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wps:spPr>
                          <a:xfrm>
                            <a:off x="2533650" y="19050"/>
                            <a:ext cx="84772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2781300" y="0"/>
                            <a:ext cx="189547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cx="http://schemas.microsoft.com/office/drawing/2014/chartex">
            <w:pict>
              <v:group w14:anchorId="14068C8F" id="Group 6" o:spid="_x0000_s1026" style="position:absolute;margin-left:49.95pt;margin-top:19.35pt;width:368.25pt;height:35.25pt;z-index:251657216;mso-height-relative:margin" coordsize="46767,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">
                <v:shapetype id="_x0000_t32" coordsize="21600,21600" o:spt="32" o:oned="t" path="m,l21600,21600e" filled="f">
                  <v:path arrowok="t" fillok="f" o:connecttype="none"/>
                  <o:lock v:ext="edit" shapetype="t"/>
                </v:shapetype>
                <v:shape id="Straight Arrow Connector 1" o:spid="_x0000_s1027" type="#_x0000_t32" style="position:absolute;top:190;width:22002;height:5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" strokecolor="#5b9bd5 [3204]" strokeweight=".5pt">
                  <v:stroke endarrow="block" joinstyle="miter"/>
                </v:shape>
                <v:shape id="Straight Arrow Connector 2" o:spid="_x0000_s1028" type="#_x0000_t32" style="position:absolute;left:13239;top:285;width:9621;height:5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5b9bd5 [3204]" strokeweight=".5pt">
                  <v:stroke endarrow="block" joinstyle="miter"/>
                </v:shape>
                <v:shape id="Straight Arrow Connector 3" o:spid="_x0000_s1029" type="#_x0000_t32" style="position:absolute;left:23622;top:95;width:457;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5b9bd5 [3204]" strokeweight=".5pt">
                  <v:stroke endarrow="block" joinstyle="miter"/>
                </v:shape>
                <v:shape id="Straight Arrow Connector 4" o:spid="_x0000_s1030" type="#_x0000_t32" style="position:absolute;left:25336;top:190;width:8477;height:5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" strokecolor="#5b9bd5 [3204]" strokeweight=".5pt">
                  <v:stroke endarrow="block" joinstyle="miter"/>
                </v:shape>
                <v:shape id="Straight Arrow Connector 5" o:spid="_x0000_s1031" type="#_x0000_t32" style="position:absolute;left:27813;width:18954;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v:group>
            </w:pict>
          </mc:Fallback>
        </mc:AlternateContent>
      </w:r>
    </w:p>
    <w:p w:rsidR="0073097B" w:rsidRDefault="0073097B" w:rsidP="0086597F">
      <w:pPr>
        <w:ind w:firstLine="720"/>
        <w:jc w:val="both"/>
      </w:pPr>
    </w:p>
    <w:p w:rsidR="0073097B" w:rsidRDefault="0073097B" w:rsidP="0086597F">
      <w:pPr>
        <w:ind w:firstLine="720"/>
        <w:jc w:val="both"/>
      </w:pPr>
    </w:p>
    <w:tbl>
      <w:tblPr>
        <w:tblStyle w:val="Lentelstinklelis"/>
        <w:tblW w:w="0" w:type="auto"/>
        <w:tblLook w:val="04A0" w:firstRow="1" w:lastRow="0" w:firstColumn="1" w:lastColumn="0" w:noHBand="0" w:noVBand="1"/>
      </w:tblPr>
      <w:tblGrid>
        <w:gridCol w:w="2518"/>
        <w:gridCol w:w="1603"/>
        <w:gridCol w:w="1835"/>
        <w:gridCol w:w="1654"/>
        <w:gridCol w:w="1734"/>
      </w:tblGrid>
      <w:tr w:rsidR="001F1F3D" w:rsidTr="006A1D3B">
        <w:tc>
          <w:tcPr>
            <w:tcW w:w="2518" w:type="dxa"/>
          </w:tcPr>
          <w:p w:rsidR="0073097B" w:rsidRPr="0073097B" w:rsidRDefault="0073097B" w:rsidP="00047717">
            <w:pPr>
              <w:jc w:val="center"/>
              <w:rPr>
                <w:b/>
              </w:rPr>
            </w:pPr>
            <w:r w:rsidRPr="0073097B">
              <w:rPr>
                <w:b/>
              </w:rPr>
              <w:t>28,</w:t>
            </w:r>
            <w:r w:rsidR="00047717">
              <w:rPr>
                <w:b/>
              </w:rPr>
              <w:t>2</w:t>
            </w:r>
            <w:r w:rsidRPr="0073097B">
              <w:rPr>
                <w:b/>
              </w:rPr>
              <w:t xml:space="preserve"> mln. Eur</w:t>
            </w:r>
          </w:p>
        </w:tc>
        <w:tc>
          <w:tcPr>
            <w:tcW w:w="1603" w:type="dxa"/>
          </w:tcPr>
          <w:p w:rsidR="0073097B" w:rsidRPr="0073097B" w:rsidRDefault="0073097B" w:rsidP="0073097B">
            <w:pPr>
              <w:jc w:val="center"/>
              <w:rPr>
                <w:b/>
              </w:rPr>
            </w:pPr>
            <w:r w:rsidRPr="0073097B">
              <w:rPr>
                <w:b/>
              </w:rPr>
              <w:t>6,9 mln. Eur</w:t>
            </w:r>
          </w:p>
        </w:tc>
        <w:tc>
          <w:tcPr>
            <w:tcW w:w="1835" w:type="dxa"/>
          </w:tcPr>
          <w:p w:rsidR="0073097B" w:rsidRPr="0073097B" w:rsidRDefault="0073097B" w:rsidP="0073097B">
            <w:pPr>
              <w:jc w:val="center"/>
              <w:rPr>
                <w:b/>
              </w:rPr>
            </w:pPr>
            <w:r w:rsidRPr="0073097B">
              <w:rPr>
                <w:b/>
              </w:rPr>
              <w:t>3,2 mln. Eur</w:t>
            </w:r>
          </w:p>
        </w:tc>
        <w:tc>
          <w:tcPr>
            <w:tcW w:w="1654" w:type="dxa"/>
          </w:tcPr>
          <w:p w:rsidR="0073097B" w:rsidRPr="0073097B" w:rsidRDefault="0073097B" w:rsidP="0073097B">
            <w:pPr>
              <w:jc w:val="center"/>
              <w:rPr>
                <w:b/>
              </w:rPr>
            </w:pPr>
            <w:r w:rsidRPr="0073097B">
              <w:rPr>
                <w:b/>
              </w:rPr>
              <w:t>1,9 mln. Eur</w:t>
            </w:r>
          </w:p>
        </w:tc>
        <w:tc>
          <w:tcPr>
            <w:tcW w:w="1734" w:type="dxa"/>
          </w:tcPr>
          <w:p w:rsidR="0073097B" w:rsidRPr="0073097B" w:rsidRDefault="0073097B" w:rsidP="0073097B">
            <w:pPr>
              <w:jc w:val="center"/>
              <w:rPr>
                <w:b/>
              </w:rPr>
            </w:pPr>
            <w:r w:rsidRPr="0073097B">
              <w:rPr>
                <w:b/>
              </w:rPr>
              <w:t>1,6 mln. Eur</w:t>
            </w:r>
          </w:p>
        </w:tc>
      </w:tr>
      <w:tr w:rsidR="007077A3" w:rsidTr="006A1D3B">
        <w:tc>
          <w:tcPr>
            <w:tcW w:w="2518" w:type="dxa"/>
          </w:tcPr>
          <w:p w:rsidR="007077A3" w:rsidRPr="00703241" w:rsidRDefault="007077A3" w:rsidP="0073097B">
            <w:pPr>
              <w:jc w:val="center"/>
              <w:rPr>
                <w:i/>
              </w:rPr>
            </w:pPr>
            <w:r w:rsidRPr="00703241">
              <w:rPr>
                <w:i/>
              </w:rPr>
              <w:t>(</w:t>
            </w:r>
            <w:r w:rsidR="00703241" w:rsidRPr="00703241">
              <w:rPr>
                <w:i/>
              </w:rPr>
              <w:t>67,5 proc.)</w:t>
            </w:r>
          </w:p>
        </w:tc>
        <w:tc>
          <w:tcPr>
            <w:tcW w:w="1603" w:type="dxa"/>
          </w:tcPr>
          <w:p w:rsidR="007077A3" w:rsidRPr="0073097B" w:rsidRDefault="00703241" w:rsidP="00703241">
            <w:pPr>
              <w:jc w:val="center"/>
              <w:rPr>
                <w:b/>
              </w:rPr>
            </w:pPr>
            <w:r w:rsidRPr="00703241">
              <w:rPr>
                <w:i/>
              </w:rPr>
              <w:t>(</w:t>
            </w:r>
            <w:r>
              <w:rPr>
                <w:i/>
              </w:rPr>
              <w:t>16,5</w:t>
            </w:r>
            <w:r w:rsidRPr="00703241">
              <w:rPr>
                <w:i/>
              </w:rPr>
              <w:t xml:space="preserve"> proc.)</w:t>
            </w:r>
          </w:p>
        </w:tc>
        <w:tc>
          <w:tcPr>
            <w:tcW w:w="1835" w:type="dxa"/>
          </w:tcPr>
          <w:p w:rsidR="007077A3" w:rsidRPr="0073097B" w:rsidRDefault="00703241" w:rsidP="00703241">
            <w:pPr>
              <w:jc w:val="center"/>
              <w:rPr>
                <w:b/>
              </w:rPr>
            </w:pPr>
            <w:r w:rsidRPr="00703241">
              <w:rPr>
                <w:i/>
              </w:rPr>
              <w:t>(</w:t>
            </w:r>
            <w:r>
              <w:rPr>
                <w:i/>
              </w:rPr>
              <w:t>7,6</w:t>
            </w:r>
            <w:r w:rsidRPr="00703241">
              <w:rPr>
                <w:i/>
              </w:rPr>
              <w:t xml:space="preserve"> proc.)</w:t>
            </w:r>
          </w:p>
        </w:tc>
        <w:tc>
          <w:tcPr>
            <w:tcW w:w="1654" w:type="dxa"/>
          </w:tcPr>
          <w:p w:rsidR="007077A3" w:rsidRPr="0073097B" w:rsidRDefault="00703241" w:rsidP="00703241">
            <w:pPr>
              <w:jc w:val="center"/>
              <w:rPr>
                <w:b/>
              </w:rPr>
            </w:pPr>
            <w:r w:rsidRPr="00703241">
              <w:rPr>
                <w:i/>
              </w:rPr>
              <w:t>(</w:t>
            </w:r>
            <w:r>
              <w:rPr>
                <w:i/>
              </w:rPr>
              <w:t>4,7</w:t>
            </w:r>
            <w:r w:rsidRPr="00703241">
              <w:rPr>
                <w:i/>
              </w:rPr>
              <w:t xml:space="preserve"> proc.)</w:t>
            </w:r>
          </w:p>
        </w:tc>
        <w:tc>
          <w:tcPr>
            <w:tcW w:w="1734" w:type="dxa"/>
          </w:tcPr>
          <w:p w:rsidR="007077A3" w:rsidRPr="0073097B" w:rsidRDefault="00703241" w:rsidP="00703241">
            <w:pPr>
              <w:jc w:val="center"/>
              <w:rPr>
                <w:b/>
              </w:rPr>
            </w:pPr>
            <w:r w:rsidRPr="00703241">
              <w:rPr>
                <w:i/>
              </w:rPr>
              <w:t>(</w:t>
            </w:r>
            <w:r>
              <w:rPr>
                <w:i/>
              </w:rPr>
              <w:t>3,7</w:t>
            </w:r>
            <w:r w:rsidRPr="00703241">
              <w:rPr>
                <w:i/>
              </w:rPr>
              <w:t xml:space="preserve"> proc.)</w:t>
            </w:r>
          </w:p>
        </w:tc>
      </w:tr>
      <w:tr w:rsidR="001F1F3D" w:rsidTr="006A1D3B">
        <w:tc>
          <w:tcPr>
            <w:tcW w:w="2518" w:type="dxa"/>
          </w:tcPr>
          <w:p w:rsidR="0073097B" w:rsidRDefault="0073097B" w:rsidP="002851C4">
            <w:pPr>
              <w:jc w:val="center"/>
              <w:rPr>
                <w:sz w:val="22"/>
                <w:szCs w:val="22"/>
              </w:rPr>
            </w:pPr>
            <w:r w:rsidRPr="005C38F0">
              <w:rPr>
                <w:sz w:val="22"/>
                <w:szCs w:val="22"/>
              </w:rPr>
              <w:t>biudžetinių (švietimo, socialinių, kultūros</w:t>
            </w:r>
            <w:r w:rsidR="001F1F3D" w:rsidRPr="005C38F0">
              <w:rPr>
                <w:sz w:val="22"/>
                <w:szCs w:val="22"/>
              </w:rPr>
              <w:t>) įstaigų</w:t>
            </w:r>
            <w:r w:rsidRPr="005C38F0">
              <w:rPr>
                <w:sz w:val="22"/>
                <w:szCs w:val="22"/>
              </w:rPr>
              <w:t>, savivaldybės administracijos, seniūnijų veiklos užtikrinim</w:t>
            </w:r>
            <w:r w:rsidR="002851C4" w:rsidRPr="005C38F0">
              <w:rPr>
                <w:sz w:val="22"/>
                <w:szCs w:val="22"/>
              </w:rPr>
              <w:t>ui</w:t>
            </w:r>
          </w:p>
          <w:p w:rsidR="004F2381" w:rsidRPr="005C38F0" w:rsidRDefault="004F2381" w:rsidP="002851C4">
            <w:pPr>
              <w:jc w:val="center"/>
              <w:rPr>
                <w:sz w:val="22"/>
                <w:szCs w:val="22"/>
              </w:rPr>
            </w:pPr>
          </w:p>
        </w:tc>
        <w:tc>
          <w:tcPr>
            <w:tcW w:w="1603" w:type="dxa"/>
          </w:tcPr>
          <w:p w:rsidR="0073097B" w:rsidRPr="005C38F0" w:rsidRDefault="0073097B" w:rsidP="0073097B">
            <w:pPr>
              <w:jc w:val="center"/>
              <w:rPr>
                <w:sz w:val="22"/>
                <w:szCs w:val="22"/>
              </w:rPr>
            </w:pPr>
            <w:r w:rsidRPr="005C38F0">
              <w:rPr>
                <w:sz w:val="22"/>
                <w:szCs w:val="22"/>
              </w:rPr>
              <w:t>pašalpų ir kompensacijų išmokoms</w:t>
            </w:r>
            <w:r w:rsidR="002851C4" w:rsidRPr="005C38F0">
              <w:rPr>
                <w:sz w:val="22"/>
                <w:szCs w:val="22"/>
              </w:rPr>
              <w:t>, įsipareigojimų vykdymui</w:t>
            </w:r>
          </w:p>
        </w:tc>
        <w:tc>
          <w:tcPr>
            <w:tcW w:w="1835" w:type="dxa"/>
          </w:tcPr>
          <w:p w:rsidR="0073097B" w:rsidRPr="005C38F0" w:rsidRDefault="0073097B" w:rsidP="0073097B">
            <w:pPr>
              <w:jc w:val="center"/>
              <w:rPr>
                <w:sz w:val="22"/>
                <w:szCs w:val="22"/>
              </w:rPr>
            </w:pPr>
            <w:r w:rsidRPr="005C38F0">
              <w:rPr>
                <w:sz w:val="22"/>
                <w:szCs w:val="22"/>
              </w:rPr>
              <w:t>infrastruktūros objektų tvarkymui</w:t>
            </w:r>
          </w:p>
        </w:tc>
        <w:tc>
          <w:tcPr>
            <w:tcW w:w="1654" w:type="dxa"/>
          </w:tcPr>
          <w:p w:rsidR="0073097B" w:rsidRPr="005C38F0" w:rsidRDefault="0073097B" w:rsidP="0073097B">
            <w:pPr>
              <w:jc w:val="center"/>
              <w:rPr>
                <w:sz w:val="22"/>
                <w:szCs w:val="22"/>
              </w:rPr>
            </w:pPr>
            <w:r w:rsidRPr="005C38F0">
              <w:rPr>
                <w:sz w:val="22"/>
                <w:szCs w:val="22"/>
              </w:rPr>
              <w:t>įstaigų programų finansavimui</w:t>
            </w:r>
          </w:p>
        </w:tc>
        <w:tc>
          <w:tcPr>
            <w:tcW w:w="1734" w:type="dxa"/>
          </w:tcPr>
          <w:p w:rsidR="0073097B" w:rsidRPr="005C38F0" w:rsidRDefault="0073097B" w:rsidP="002851C4">
            <w:pPr>
              <w:jc w:val="center"/>
              <w:rPr>
                <w:sz w:val="22"/>
                <w:szCs w:val="22"/>
              </w:rPr>
            </w:pPr>
            <w:r w:rsidRPr="005C38F0">
              <w:rPr>
                <w:sz w:val="22"/>
                <w:szCs w:val="22"/>
              </w:rPr>
              <w:t>projektų ko</w:t>
            </w:r>
            <w:r w:rsidR="002851C4" w:rsidRPr="005C38F0">
              <w:rPr>
                <w:sz w:val="22"/>
                <w:szCs w:val="22"/>
              </w:rPr>
              <w:t>finansavimui</w:t>
            </w:r>
          </w:p>
        </w:tc>
      </w:tr>
    </w:tbl>
    <w:p w:rsidR="0073097B" w:rsidRDefault="0073097B" w:rsidP="0086597F">
      <w:pPr>
        <w:ind w:firstLine="720"/>
        <w:jc w:val="both"/>
      </w:pPr>
    </w:p>
    <w:p w:rsidR="00A649E6" w:rsidRPr="00FE69A0" w:rsidRDefault="00D77752" w:rsidP="0086597F">
      <w:pPr>
        <w:ind w:firstLine="720"/>
        <w:jc w:val="both"/>
      </w:pPr>
      <w:r w:rsidRPr="00FE69A0">
        <w:rPr>
          <w:b/>
        </w:rPr>
        <w:t>Valstybės biudžeto specialiosios tikslinės dotacijos lėšos</w:t>
      </w:r>
      <w:r w:rsidR="0025115D" w:rsidRPr="00FE69A0">
        <w:rPr>
          <w:b/>
        </w:rPr>
        <w:t xml:space="preserve"> (SBVB</w:t>
      </w:r>
      <w:r w:rsidR="0025115D" w:rsidRPr="00FE69A0">
        <w:t>)</w:t>
      </w:r>
      <w:r w:rsidRPr="00FE69A0">
        <w:t xml:space="preserve"> </w:t>
      </w:r>
      <w:r w:rsidR="0025115D" w:rsidRPr="00FE69A0">
        <w:t xml:space="preserve">vidutiniškai sudarys </w:t>
      </w:r>
      <w:r w:rsidR="00865327">
        <w:t>beveik 27</w:t>
      </w:r>
      <w:r w:rsidR="006C3598">
        <w:t xml:space="preserve"> </w:t>
      </w:r>
      <w:r w:rsidRPr="00FE69A0">
        <w:t>proc. vis</w:t>
      </w:r>
      <w:r w:rsidR="00A649E6" w:rsidRPr="00FE69A0">
        <w:t>ų asignavimų. Didžioji dalis te</w:t>
      </w:r>
      <w:r w:rsidRPr="00FE69A0">
        <w:t>k</w:t>
      </w:r>
      <w:r w:rsidR="00A649E6" w:rsidRPr="00FE69A0">
        <w:t xml:space="preserve">tų </w:t>
      </w:r>
      <w:r w:rsidRPr="00FE69A0">
        <w:t xml:space="preserve">mokinio </w:t>
      </w:r>
      <w:r w:rsidR="006820F1" w:rsidRPr="00FE69A0">
        <w:t>reikmėms</w:t>
      </w:r>
      <w:r w:rsidRPr="00FE69A0">
        <w:t xml:space="preserve"> finansuoti (~</w:t>
      </w:r>
      <w:r w:rsidR="00865327">
        <w:t>69,9</w:t>
      </w:r>
      <w:r w:rsidR="00680E3A" w:rsidRPr="00FE69A0">
        <w:t xml:space="preserve"> </w:t>
      </w:r>
      <w:r w:rsidRPr="00FE69A0">
        <w:t>proc.</w:t>
      </w:r>
      <w:r w:rsidR="00AC30B6" w:rsidRPr="00FE69A0">
        <w:t xml:space="preserve"> arba </w:t>
      </w:r>
      <w:r w:rsidR="006C3598">
        <w:t>18,</w:t>
      </w:r>
      <w:r w:rsidR="00955D94">
        <w:t>3</w:t>
      </w:r>
      <w:r w:rsidR="00AC30B6" w:rsidRPr="00FE69A0">
        <w:t xml:space="preserve"> mln. Eur</w:t>
      </w:r>
      <w:r w:rsidRPr="00FE69A0">
        <w:t>), investiciniams projektams</w:t>
      </w:r>
      <w:r w:rsidR="006C3598">
        <w:t xml:space="preserve"> (VIP)</w:t>
      </w:r>
      <w:r w:rsidRPr="00FE69A0">
        <w:t xml:space="preserve"> įgyvendinti (~</w:t>
      </w:r>
      <w:r w:rsidR="00865327">
        <w:t xml:space="preserve"> </w:t>
      </w:r>
      <w:r w:rsidR="00955D94">
        <w:t>3,8</w:t>
      </w:r>
      <w:r w:rsidRPr="00FE69A0">
        <w:t xml:space="preserve"> proc.</w:t>
      </w:r>
      <w:r w:rsidR="00AC30B6" w:rsidRPr="00FE69A0">
        <w:t xml:space="preserve"> arba </w:t>
      </w:r>
      <w:r w:rsidR="006C3598">
        <w:t>1</w:t>
      </w:r>
      <w:r w:rsidR="00AC30B6" w:rsidRPr="00FE69A0">
        <w:t xml:space="preserve"> mln. Eur</w:t>
      </w:r>
      <w:r w:rsidRPr="00FE69A0">
        <w:t>), pašalpų ir kompensacijų išmokoms</w:t>
      </w:r>
      <w:r w:rsidR="00680E3A" w:rsidRPr="00FE69A0">
        <w:t xml:space="preserve"> bei</w:t>
      </w:r>
      <w:r w:rsidRPr="00FE69A0">
        <w:t xml:space="preserve"> Savivaldybei priskirtoms </w:t>
      </w:r>
      <w:r w:rsidR="00865327">
        <w:t xml:space="preserve">(valstybės perduotoms) </w:t>
      </w:r>
      <w:r w:rsidRPr="00FE69A0">
        <w:t>funkcijoms vykdyti (~</w:t>
      </w:r>
      <w:r w:rsidR="00B86216">
        <w:t>26,</w:t>
      </w:r>
      <w:r w:rsidR="00082B06">
        <w:t>3</w:t>
      </w:r>
      <w:r w:rsidR="00B86216">
        <w:t xml:space="preserve"> </w:t>
      </w:r>
      <w:r w:rsidRPr="00FE69A0">
        <w:t>proc.</w:t>
      </w:r>
      <w:r w:rsidR="00AC30B6" w:rsidRPr="00FE69A0">
        <w:t xml:space="preserve"> arba</w:t>
      </w:r>
      <w:r w:rsidR="006C3598">
        <w:t xml:space="preserve"> beveik</w:t>
      </w:r>
      <w:r w:rsidR="00AC30B6" w:rsidRPr="00FE69A0">
        <w:t xml:space="preserve"> </w:t>
      </w:r>
      <w:r w:rsidR="00955D94">
        <w:t>6,9</w:t>
      </w:r>
      <w:r w:rsidR="00AC30B6" w:rsidRPr="00FE69A0">
        <w:t xml:space="preserve"> mln. Eur</w:t>
      </w:r>
      <w:r w:rsidRPr="00FE69A0">
        <w:t xml:space="preserve">).  </w:t>
      </w:r>
    </w:p>
    <w:p w:rsidR="00C52599" w:rsidRDefault="00C52599" w:rsidP="00C52599">
      <w:pPr>
        <w:ind w:firstLine="720"/>
        <w:jc w:val="both"/>
      </w:pPr>
    </w:p>
    <w:tbl>
      <w:tblPr>
        <w:tblStyle w:val="Lentelstinklelis"/>
        <w:tblpPr w:leftFromText="180" w:rightFromText="180" w:vertAnchor="text" w:horzAnchor="margin" w:tblpY="50"/>
        <w:tblW w:w="0" w:type="auto"/>
        <w:tblLook w:val="04A0" w:firstRow="1" w:lastRow="0" w:firstColumn="1" w:lastColumn="0" w:noHBand="0" w:noVBand="1"/>
      </w:tblPr>
      <w:tblGrid>
        <w:gridCol w:w="9344"/>
      </w:tblGrid>
      <w:tr w:rsidR="00C52599" w:rsidTr="00F17B91">
        <w:tc>
          <w:tcPr>
            <w:tcW w:w="9344" w:type="dxa"/>
          </w:tcPr>
          <w:p w:rsidR="00C52599" w:rsidRPr="0073097B" w:rsidRDefault="00C52599" w:rsidP="00C52599">
            <w:pPr>
              <w:jc w:val="center"/>
              <w:rPr>
                <w:b/>
              </w:rPr>
            </w:pPr>
            <w:r w:rsidRPr="00FE69A0">
              <w:rPr>
                <w:b/>
              </w:rPr>
              <w:t>Valstybės biudžeto specialiosios tikslinės dotacijos lėšos</w:t>
            </w:r>
            <w:r>
              <w:rPr>
                <w:b/>
              </w:rPr>
              <w:t xml:space="preserve"> 26,2</w:t>
            </w:r>
            <w:r w:rsidRPr="0073097B">
              <w:rPr>
                <w:b/>
              </w:rPr>
              <w:t xml:space="preserve"> mln. Eur</w:t>
            </w:r>
          </w:p>
        </w:tc>
      </w:tr>
    </w:tbl>
    <w:p w:rsidR="00C52599" w:rsidRDefault="00082B06" w:rsidP="00C52599">
      <w:pPr>
        <w:ind w:firstLine="720"/>
        <w:jc w:val="both"/>
      </w:pPr>
      <w:r>
        <w:rPr>
          <w:noProof/>
          <w:lang w:val="en-US"/>
        </w:rPr>
        <mc:AlternateContent>
          <mc:Choice Requires="wpg">
            <w:drawing>
              <wp:anchor distT="0" distB="0" distL="114300" distR="114300" simplePos="0" relativeHeight="251666432" behindDoc="0" locked="0" layoutInCell="1" allowOverlap="1">
                <wp:simplePos x="0" y="0"/>
                <wp:positionH relativeFrom="column">
                  <wp:posOffset>627895</wp:posOffset>
                </wp:positionH>
                <wp:positionV relativeFrom="paragraph">
                  <wp:posOffset>243517</wp:posOffset>
                </wp:positionV>
                <wp:extent cx="4673181" cy="421592"/>
                <wp:effectExtent l="38100" t="0" r="51435" b="74295"/>
                <wp:wrapNone/>
                <wp:docPr id="15" name="Group 15"/>
                <wp:cNvGraphicFramePr/>
                <a:graphic xmlns:a="http://schemas.openxmlformats.org/drawingml/2006/main">
                  <a:graphicData uri="http://schemas.microsoft.com/office/word/2010/wordprocessingGroup">
                    <wpg:wgp>
                      <wpg:cNvGrpSpPr/>
                      <wpg:grpSpPr>
                        <a:xfrm>
                          <a:off x="0" y="0"/>
                          <a:ext cx="4673181" cy="421592"/>
                          <a:chOff x="0" y="0"/>
                          <a:chExt cx="4673181" cy="421592"/>
                        </a:xfrm>
                      </wpg:grpSpPr>
                      <wps:wsp>
                        <wps:cNvPr id="10" name="Straight Arrow Connector 10"/>
                        <wps:cNvCnPr/>
                        <wps:spPr>
                          <a:xfrm flipH="1">
                            <a:off x="0" y="17252"/>
                            <a:ext cx="2200275" cy="399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319842" y="60384"/>
                            <a:ext cx="1026543" cy="3353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536166" y="94890"/>
                            <a:ext cx="832988" cy="3267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2777706" y="0"/>
                            <a:ext cx="1895475" cy="406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http://schemas.microsoft.com/office/drawing/2014/chartex">
            <w:pict>
              <v:group w14:anchorId="7FD23ADE" id="Group 15" o:spid="_x0000_s1026" style="position:absolute;margin-left:49.45pt;margin-top:19.15pt;width:367.95pt;height:33.2pt;z-index:251666432" coordsize="4673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">
                <v:shape id="Straight Arrow Connector 10" o:spid="_x0000_s1027" type="#_x0000_t32" style="position:absolute;top:172;width:22002;height:39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Straight Arrow Connector 11" o:spid="_x0000_s1028" type="#_x0000_t32" style="position:absolute;left:13198;top:603;width:10265;height:3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 id="Straight Arrow Connector 13" o:spid="_x0000_s1029" type="#_x0000_t32" style="position:absolute;left:25361;top:948;width:8330;height:3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5b9bd5 [3204]" strokeweight=".5pt">
                  <v:stroke endarrow="block" joinstyle="miter"/>
                </v:shape>
                <v:shape id="Straight Arrow Connector 14" o:spid="_x0000_s1030" type="#_x0000_t32" style="position:absolute;left:27777;width:18954;height:4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group>
            </w:pict>
          </mc:Fallback>
        </mc:AlternateContent>
      </w:r>
    </w:p>
    <w:p w:rsidR="00C52599" w:rsidRDefault="00C52599" w:rsidP="00C52599">
      <w:pPr>
        <w:ind w:firstLine="720"/>
        <w:jc w:val="both"/>
      </w:pPr>
    </w:p>
    <w:p w:rsidR="00C52599" w:rsidRDefault="00C52599" w:rsidP="00C52599">
      <w:pPr>
        <w:ind w:firstLine="720"/>
        <w:jc w:val="both"/>
      </w:pPr>
    </w:p>
    <w:tbl>
      <w:tblPr>
        <w:tblStyle w:val="Lentelstinklelis"/>
        <w:tblW w:w="9351" w:type="dxa"/>
        <w:tblLook w:val="04A0" w:firstRow="1" w:lastRow="0" w:firstColumn="1" w:lastColumn="0" w:noHBand="0" w:noVBand="1"/>
      </w:tblPr>
      <w:tblGrid>
        <w:gridCol w:w="2689"/>
        <w:gridCol w:w="1984"/>
        <w:gridCol w:w="2268"/>
        <w:gridCol w:w="2410"/>
      </w:tblGrid>
      <w:tr w:rsidR="00955D94" w:rsidTr="00955D94">
        <w:tc>
          <w:tcPr>
            <w:tcW w:w="2689" w:type="dxa"/>
          </w:tcPr>
          <w:p w:rsidR="00955D94" w:rsidRPr="0073097B" w:rsidRDefault="00955D94" w:rsidP="00955D94">
            <w:pPr>
              <w:jc w:val="center"/>
              <w:rPr>
                <w:b/>
              </w:rPr>
            </w:pPr>
            <w:r>
              <w:rPr>
                <w:b/>
              </w:rPr>
              <w:t>18,3</w:t>
            </w:r>
            <w:r w:rsidRPr="0073097B">
              <w:rPr>
                <w:b/>
              </w:rPr>
              <w:t xml:space="preserve"> mln. Eur</w:t>
            </w:r>
          </w:p>
        </w:tc>
        <w:tc>
          <w:tcPr>
            <w:tcW w:w="1984" w:type="dxa"/>
          </w:tcPr>
          <w:p w:rsidR="00955D94" w:rsidRPr="00955D94" w:rsidRDefault="00955D94" w:rsidP="00955D94">
            <w:pPr>
              <w:rPr>
                <w:b/>
              </w:rPr>
            </w:pPr>
            <w:r w:rsidRPr="00955D94">
              <w:rPr>
                <w:b/>
              </w:rPr>
              <w:t>3,5 mln. Eur</w:t>
            </w:r>
          </w:p>
        </w:tc>
        <w:tc>
          <w:tcPr>
            <w:tcW w:w="2268" w:type="dxa"/>
          </w:tcPr>
          <w:p w:rsidR="00955D94" w:rsidRPr="00955D94" w:rsidRDefault="00955D94" w:rsidP="00955D94">
            <w:pPr>
              <w:rPr>
                <w:b/>
              </w:rPr>
            </w:pPr>
            <w:r w:rsidRPr="00955D94">
              <w:rPr>
                <w:b/>
              </w:rPr>
              <w:t>1  mln. Eur</w:t>
            </w:r>
          </w:p>
        </w:tc>
        <w:tc>
          <w:tcPr>
            <w:tcW w:w="2410" w:type="dxa"/>
          </w:tcPr>
          <w:p w:rsidR="00955D94" w:rsidRPr="0073097B" w:rsidRDefault="00955D94" w:rsidP="00955D94">
            <w:pPr>
              <w:jc w:val="center"/>
              <w:rPr>
                <w:b/>
              </w:rPr>
            </w:pPr>
            <w:r>
              <w:rPr>
                <w:b/>
              </w:rPr>
              <w:t>3,4</w:t>
            </w:r>
            <w:r w:rsidRPr="0073097B">
              <w:rPr>
                <w:b/>
              </w:rPr>
              <w:t xml:space="preserve"> mln. Eur</w:t>
            </w:r>
          </w:p>
        </w:tc>
      </w:tr>
      <w:tr w:rsidR="00955D94" w:rsidRPr="00EA1CD5" w:rsidTr="00955D94">
        <w:tc>
          <w:tcPr>
            <w:tcW w:w="2689" w:type="dxa"/>
          </w:tcPr>
          <w:p w:rsidR="00955D94" w:rsidRPr="00EA1CD5" w:rsidRDefault="00955D94" w:rsidP="00EA1CD5">
            <w:pPr>
              <w:jc w:val="center"/>
              <w:rPr>
                <w:i/>
                <w:sz w:val="22"/>
                <w:szCs w:val="22"/>
              </w:rPr>
            </w:pPr>
            <w:r w:rsidRPr="00EA1CD5">
              <w:rPr>
                <w:i/>
                <w:sz w:val="22"/>
                <w:szCs w:val="22"/>
              </w:rPr>
              <w:t>(69,9 proc.)</w:t>
            </w:r>
          </w:p>
        </w:tc>
        <w:tc>
          <w:tcPr>
            <w:tcW w:w="1984" w:type="dxa"/>
          </w:tcPr>
          <w:p w:rsidR="00955D94" w:rsidRPr="00EA1CD5" w:rsidRDefault="00955D94" w:rsidP="00EA1CD5">
            <w:pPr>
              <w:jc w:val="center"/>
              <w:rPr>
                <w:i/>
                <w:sz w:val="22"/>
                <w:szCs w:val="22"/>
              </w:rPr>
            </w:pPr>
            <w:r w:rsidRPr="00EA1CD5">
              <w:rPr>
                <w:i/>
                <w:sz w:val="22"/>
                <w:szCs w:val="22"/>
              </w:rPr>
              <w:t>(13,3 proc.)</w:t>
            </w:r>
          </w:p>
        </w:tc>
        <w:tc>
          <w:tcPr>
            <w:tcW w:w="2268" w:type="dxa"/>
          </w:tcPr>
          <w:p w:rsidR="00955D94" w:rsidRPr="00EA1CD5" w:rsidRDefault="00955D94" w:rsidP="00EA1CD5">
            <w:pPr>
              <w:jc w:val="center"/>
              <w:rPr>
                <w:i/>
                <w:sz w:val="22"/>
                <w:szCs w:val="22"/>
              </w:rPr>
            </w:pPr>
            <w:r w:rsidRPr="00EA1CD5">
              <w:rPr>
                <w:i/>
                <w:sz w:val="22"/>
                <w:szCs w:val="22"/>
              </w:rPr>
              <w:t>(3,8 proc.)</w:t>
            </w:r>
          </w:p>
        </w:tc>
        <w:tc>
          <w:tcPr>
            <w:tcW w:w="2410" w:type="dxa"/>
          </w:tcPr>
          <w:p w:rsidR="00955D94" w:rsidRPr="00EA1CD5" w:rsidRDefault="00955D94" w:rsidP="00EA1CD5">
            <w:pPr>
              <w:jc w:val="center"/>
              <w:rPr>
                <w:b/>
                <w:i/>
                <w:sz w:val="22"/>
                <w:szCs w:val="22"/>
              </w:rPr>
            </w:pPr>
            <w:r w:rsidRPr="00EA1CD5">
              <w:rPr>
                <w:i/>
                <w:sz w:val="22"/>
                <w:szCs w:val="22"/>
              </w:rPr>
              <w:t>(13 proc.)</w:t>
            </w:r>
          </w:p>
        </w:tc>
      </w:tr>
      <w:tr w:rsidR="00955D94" w:rsidTr="00955D94">
        <w:tc>
          <w:tcPr>
            <w:tcW w:w="2689" w:type="dxa"/>
          </w:tcPr>
          <w:p w:rsidR="00955D94" w:rsidRDefault="00955D94" w:rsidP="00955D94">
            <w:pPr>
              <w:jc w:val="center"/>
              <w:rPr>
                <w:sz w:val="22"/>
                <w:szCs w:val="22"/>
              </w:rPr>
            </w:pPr>
            <w:r w:rsidRPr="00955D94">
              <w:rPr>
                <w:sz w:val="22"/>
                <w:szCs w:val="22"/>
              </w:rPr>
              <w:t xml:space="preserve">Ugdymo reikmėms, specialiųjų ugdymosi poreikių turintiems mokiniams,  kita ugdymui skirta tikslinė dotacija </w:t>
            </w:r>
          </w:p>
          <w:p w:rsidR="004F2381" w:rsidRPr="00955D94" w:rsidRDefault="004F2381" w:rsidP="00955D94">
            <w:pPr>
              <w:jc w:val="center"/>
              <w:rPr>
                <w:sz w:val="22"/>
                <w:szCs w:val="22"/>
              </w:rPr>
            </w:pPr>
          </w:p>
        </w:tc>
        <w:tc>
          <w:tcPr>
            <w:tcW w:w="1984" w:type="dxa"/>
          </w:tcPr>
          <w:p w:rsidR="00955D94" w:rsidRPr="00955D94" w:rsidRDefault="00955D94" w:rsidP="00955D94">
            <w:pPr>
              <w:rPr>
                <w:sz w:val="22"/>
                <w:szCs w:val="22"/>
              </w:rPr>
            </w:pPr>
            <w:r w:rsidRPr="00955D94">
              <w:rPr>
                <w:sz w:val="22"/>
                <w:szCs w:val="22"/>
              </w:rPr>
              <w:t xml:space="preserve">Kompensacijų, išmokų, pašalpų mokėjimui </w:t>
            </w:r>
          </w:p>
        </w:tc>
        <w:tc>
          <w:tcPr>
            <w:tcW w:w="2268" w:type="dxa"/>
          </w:tcPr>
          <w:p w:rsidR="00955D94" w:rsidRPr="00955D94" w:rsidRDefault="00955D94" w:rsidP="00955D94">
            <w:pPr>
              <w:rPr>
                <w:sz w:val="22"/>
                <w:szCs w:val="22"/>
              </w:rPr>
            </w:pPr>
            <w:r w:rsidRPr="00955D94">
              <w:rPr>
                <w:sz w:val="22"/>
                <w:szCs w:val="22"/>
              </w:rPr>
              <w:t>valstybės investicijų 2022 m. programoje numatytoms kapitalo investicijoms</w:t>
            </w:r>
          </w:p>
        </w:tc>
        <w:tc>
          <w:tcPr>
            <w:tcW w:w="2410" w:type="dxa"/>
          </w:tcPr>
          <w:p w:rsidR="00955D94" w:rsidRPr="00955D94" w:rsidRDefault="00955D94" w:rsidP="00955D94">
            <w:pPr>
              <w:jc w:val="center"/>
              <w:rPr>
                <w:sz w:val="22"/>
                <w:szCs w:val="22"/>
              </w:rPr>
            </w:pPr>
            <w:r w:rsidRPr="00955D94">
              <w:rPr>
                <w:sz w:val="22"/>
                <w:szCs w:val="22"/>
              </w:rPr>
              <w:t>Kitoms savivaldybei priskirtoms (valstybės perduotoms) funkcijoms vykdyti</w:t>
            </w:r>
          </w:p>
        </w:tc>
      </w:tr>
    </w:tbl>
    <w:p w:rsidR="00C52599" w:rsidRDefault="00C52599" w:rsidP="00FB4BC1">
      <w:pPr>
        <w:ind w:firstLine="720"/>
        <w:jc w:val="both"/>
      </w:pPr>
    </w:p>
    <w:p w:rsidR="00C52599" w:rsidRDefault="00C52599" w:rsidP="00FB4BC1">
      <w:pPr>
        <w:ind w:firstLine="720"/>
        <w:jc w:val="both"/>
      </w:pPr>
    </w:p>
    <w:p w:rsidR="00680E3A" w:rsidRPr="00FB4BC1" w:rsidRDefault="004F2381" w:rsidP="004F2381">
      <w:pPr>
        <w:jc w:val="both"/>
      </w:pPr>
      <w:r>
        <w:t>A</w:t>
      </w:r>
      <w:r w:rsidR="00A649E6" w:rsidRPr="00FB4BC1">
        <w:t>pie</w:t>
      </w:r>
      <w:r w:rsidR="00D77752" w:rsidRPr="00FB4BC1">
        <w:t xml:space="preserve"> </w:t>
      </w:r>
      <w:r w:rsidR="00076305">
        <w:t>17</w:t>
      </w:r>
      <w:r w:rsidR="00CF6EA5" w:rsidRPr="00FB4BC1">
        <w:t xml:space="preserve"> proc. visų Veiklos plane numatytų asignavimų sudar</w:t>
      </w:r>
      <w:r w:rsidR="00473821">
        <w:t>ys</w:t>
      </w:r>
      <w:r w:rsidR="00FB4BC1" w:rsidRPr="00FB4BC1">
        <w:t xml:space="preserve"> </w:t>
      </w:r>
      <w:r w:rsidR="00FB4BC1" w:rsidRPr="00FB4BC1">
        <w:rPr>
          <w:b/>
        </w:rPr>
        <w:t>valstybės biudžeto lėšos (VB</w:t>
      </w:r>
      <w:r w:rsidR="00FB4BC1" w:rsidRPr="00FB4BC1">
        <w:t>) (socialinėms išmokoms, daliniam projektų finansavimui),</w:t>
      </w:r>
      <w:r w:rsidR="00473821" w:rsidRPr="00473821">
        <w:t xml:space="preserve"> </w:t>
      </w:r>
      <w:r w:rsidR="00473821">
        <w:t>4,7</w:t>
      </w:r>
      <w:r w:rsidR="00473821" w:rsidRPr="00FB4BC1">
        <w:t xml:space="preserve"> proc. – </w:t>
      </w:r>
      <w:r w:rsidR="00473821" w:rsidRPr="00FB4BC1">
        <w:rPr>
          <w:b/>
        </w:rPr>
        <w:t>Europos Sąjungos lėšos</w:t>
      </w:r>
      <w:r w:rsidR="00473821" w:rsidRPr="00FB4BC1">
        <w:t xml:space="preserve"> (</w:t>
      </w:r>
      <w:r w:rsidR="00473821" w:rsidRPr="00FB4BC1">
        <w:rPr>
          <w:b/>
        </w:rPr>
        <w:t>ES</w:t>
      </w:r>
      <w:r w:rsidR="00473821" w:rsidRPr="00FB4BC1">
        <w:t>) (projektams, programoms įgyvendinti)</w:t>
      </w:r>
      <w:r w:rsidR="00FB4BC1" w:rsidRPr="00FB4BC1">
        <w:t xml:space="preserve"> </w:t>
      </w:r>
      <w:r w:rsidR="00473821">
        <w:t>3,1</w:t>
      </w:r>
      <w:r w:rsidR="00FB4BC1" w:rsidRPr="00FB4BC1">
        <w:t xml:space="preserve"> proc.</w:t>
      </w:r>
      <w:r w:rsidR="00DA3353">
        <w:t xml:space="preserve"> </w:t>
      </w:r>
      <w:r w:rsidR="00473821" w:rsidRPr="00FB4BC1">
        <w:t xml:space="preserve">– </w:t>
      </w:r>
      <w:r w:rsidR="00FB4BC1" w:rsidRPr="00FB4BC1">
        <w:rPr>
          <w:b/>
        </w:rPr>
        <w:t>Kelių priežiūros ir plėtros programos lėšos</w:t>
      </w:r>
      <w:r w:rsidR="00FB4BC1" w:rsidRPr="00FB4BC1">
        <w:t xml:space="preserve"> (</w:t>
      </w:r>
      <w:r w:rsidR="00FB4BC1" w:rsidRPr="00FB4BC1">
        <w:rPr>
          <w:b/>
        </w:rPr>
        <w:t>KPP</w:t>
      </w:r>
      <w:r w:rsidR="00FB4BC1" w:rsidRPr="00FB4BC1">
        <w:t xml:space="preserve">), </w:t>
      </w:r>
      <w:r w:rsidR="00473821">
        <w:t>1,9</w:t>
      </w:r>
      <w:r w:rsidR="00473821" w:rsidRPr="00FB4BC1">
        <w:t xml:space="preserve"> proc. – įstaigų, iš pajamų už suteiktas paslaugas lėšos </w:t>
      </w:r>
      <w:r w:rsidR="00473821" w:rsidRPr="00FB4BC1">
        <w:rPr>
          <w:b/>
        </w:rPr>
        <w:t>(ĮP),</w:t>
      </w:r>
      <w:r w:rsidR="00473821" w:rsidRPr="00FB4BC1">
        <w:t xml:space="preserve"> </w:t>
      </w:r>
      <w:r w:rsidR="0044712E">
        <w:t xml:space="preserve">1,6 proc. </w:t>
      </w:r>
      <w:r w:rsidR="00DA3353" w:rsidRPr="00FB4BC1">
        <w:t>–</w:t>
      </w:r>
      <w:r w:rsidR="00DA3353">
        <w:t xml:space="preserve"> skolintos lėšos (infrastruktūros projektams finansuoti bei paskolai refinansuoti) (</w:t>
      </w:r>
      <w:r w:rsidR="00DA3353" w:rsidRPr="00FB4BC1">
        <w:rPr>
          <w:b/>
        </w:rPr>
        <w:t>SK</w:t>
      </w:r>
      <w:r w:rsidR="00DA3353">
        <w:t xml:space="preserve">), 1,2 </w:t>
      </w:r>
      <w:r w:rsidR="00FB4BC1" w:rsidRPr="00FB4BC1">
        <w:t>proc. – privačios-investuotojų lėšos (</w:t>
      </w:r>
      <w:r w:rsidR="00FE5214">
        <w:rPr>
          <w:b/>
        </w:rPr>
        <w:t xml:space="preserve">PR), </w:t>
      </w:r>
      <w:r w:rsidR="00FE5214">
        <w:t>0,5</w:t>
      </w:r>
      <w:r w:rsidR="00821C7B">
        <w:t xml:space="preserve"> proc. </w:t>
      </w:r>
      <w:r w:rsidR="00680E3A" w:rsidRPr="00FB4BC1">
        <w:t>–</w:t>
      </w:r>
      <w:r w:rsidR="00821C7B">
        <w:t xml:space="preserve"> </w:t>
      </w:r>
      <w:r w:rsidR="00680E3A" w:rsidRPr="00FB4BC1">
        <w:t>Aplinkos apsaugos rėmimo specialiosios programos lėšos (</w:t>
      </w:r>
      <w:r w:rsidR="00680E3A" w:rsidRPr="00FB4BC1">
        <w:rPr>
          <w:b/>
        </w:rPr>
        <w:t>AA</w:t>
      </w:r>
      <w:r w:rsidR="008F4885">
        <w:t>).</w:t>
      </w:r>
    </w:p>
    <w:p w:rsidR="004F2381" w:rsidRDefault="004F2381">
      <w:pPr>
        <w:rPr>
          <w:b/>
          <w:kern w:val="1"/>
        </w:rPr>
      </w:pPr>
      <w:r>
        <w:rPr>
          <w:b/>
          <w:kern w:val="1"/>
        </w:rPr>
        <w:br w:type="page"/>
      </w:r>
    </w:p>
    <w:p w:rsidR="00E633A1" w:rsidRPr="000C3A7C" w:rsidRDefault="00E633A1" w:rsidP="00BA195B">
      <w:pPr>
        <w:ind w:firstLine="720"/>
        <w:jc w:val="both"/>
        <w:rPr>
          <w:b/>
          <w:kern w:val="1"/>
        </w:rPr>
      </w:pPr>
      <w:r w:rsidRPr="000C3A7C">
        <w:rPr>
          <w:b/>
          <w:kern w:val="1"/>
        </w:rPr>
        <w:t>Laukiami rezultatai:</w:t>
      </w:r>
    </w:p>
    <w:p w:rsidR="00123867" w:rsidRPr="000C3A7C" w:rsidRDefault="00544CE3" w:rsidP="00205DB9">
      <w:pPr>
        <w:pStyle w:val="Textbeitrauku"/>
        <w:ind w:firstLine="720"/>
      </w:pPr>
      <w:r w:rsidRPr="000C3A7C">
        <w:t>Parengtas Kėdainių rajono savivaldybės 20</w:t>
      </w:r>
      <w:r w:rsidR="00D71FE4">
        <w:t>2</w:t>
      </w:r>
      <w:r w:rsidR="00144509">
        <w:t>2</w:t>
      </w:r>
      <w:r w:rsidRPr="000C3A7C">
        <w:t>–202</w:t>
      </w:r>
      <w:r w:rsidR="00144509">
        <w:t>4</w:t>
      </w:r>
      <w:r w:rsidR="004E503A" w:rsidRPr="000C3A7C">
        <w:t xml:space="preserve"> </w:t>
      </w:r>
      <w:r w:rsidRPr="000C3A7C">
        <w:t>m. strateginis veiklos planas leis efektyvi</w:t>
      </w:r>
      <w:r w:rsidR="00CD75E9">
        <w:t>ai</w:t>
      </w:r>
      <w:r w:rsidRPr="000C3A7C">
        <w:t xml:space="preserve"> planuoti savivaldybės veiklą, sudarys sąlygas tinkamai formuoti, vykdyti, kontroliuoti ilgalaikius ir trumpalaikius rajono plėtros procesus. Veiklos planas </w:t>
      </w:r>
      <w:r w:rsidR="00205DB9" w:rsidRPr="000C3A7C">
        <w:t xml:space="preserve">taip pat užtikrins savivaldybės ir jos įstaigų suplanuotų projektų </w:t>
      </w:r>
      <w:r w:rsidR="00CD75E9">
        <w:t>įgyvendinimą, užtikrins savivaldybei įstatymais nustatytų funkcijų vykdymą.</w:t>
      </w:r>
      <w:r w:rsidR="00D71FE4">
        <w:t xml:space="preserve"> Veiklos planas yra pagrindas rengti 202</w:t>
      </w:r>
      <w:r w:rsidR="00C52599">
        <w:t>2</w:t>
      </w:r>
      <w:r w:rsidR="00D71FE4">
        <w:t xml:space="preserve"> m. savivaldybės biudžetą.</w:t>
      </w:r>
    </w:p>
    <w:p w:rsidR="00205DB9" w:rsidRPr="000C3A7C" w:rsidRDefault="00205DB9" w:rsidP="00205DB9">
      <w:pPr>
        <w:pStyle w:val="Textbeitrauku"/>
        <w:ind w:firstLine="720"/>
      </w:pPr>
    </w:p>
    <w:p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p w:rsidR="00E633A1" w:rsidRPr="0063246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r w:rsidR="00E633A1" w:rsidRPr="00E633A1" w:rsidTr="001E3B97">
        <w:tc>
          <w:tcPr>
            <w:tcW w:w="3828" w:type="dxa"/>
            <w:tcBorders>
              <w:top w:val="single" w:sz="4" w:space="0" w:color="000000"/>
              <w:left w:val="single" w:sz="4" w:space="0" w:color="000000"/>
              <w:bottom w:val="single" w:sz="4" w:space="0" w:color="000000"/>
              <w:right w:val="single" w:sz="4" w:space="0" w:color="000000"/>
            </w:tcBorders>
            <w:hideMark/>
          </w:tcPr>
          <w:p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rsidR="00E633A1" w:rsidRPr="00E633A1" w:rsidRDefault="00E633A1" w:rsidP="00EF5EED">
            <w:pPr>
              <w:rPr>
                <w:i/>
                <w:kern w:val="1"/>
                <w:sz w:val="20"/>
                <w:szCs w:val="20"/>
                <w:lang w:bidi="lo-LA"/>
              </w:rPr>
            </w:pPr>
          </w:p>
        </w:tc>
      </w:tr>
    </w:tbl>
    <w:p w:rsidR="00E633A1" w:rsidRPr="00632467" w:rsidRDefault="00E633A1" w:rsidP="00E633A1">
      <w:pPr>
        <w:jc w:val="both"/>
        <w:rPr>
          <w:color w:val="FF0000"/>
          <w:kern w:val="1"/>
          <w:lang w:bidi="lo-LA"/>
        </w:rPr>
      </w:pPr>
    </w:p>
    <w:p w:rsidR="00E633A1" w:rsidRPr="00632467" w:rsidRDefault="00E633A1" w:rsidP="00E633A1">
      <w:pPr>
        <w:jc w:val="both"/>
        <w:rPr>
          <w:kern w:val="1"/>
          <w:lang w:bidi="lo-LA"/>
        </w:rPr>
      </w:pPr>
      <w:r w:rsidRPr="00632467">
        <w:rPr>
          <w:b/>
          <w:kern w:val="1"/>
          <w:lang w:bidi="lo-LA"/>
        </w:rPr>
        <w:t>*</w:t>
      </w:r>
      <w:r w:rsidRPr="00632467">
        <w:rPr>
          <w:bCs/>
          <w:kern w:val="1"/>
        </w:rPr>
        <w:t xml:space="preserve"> Numatomo teisinio reguliavimo poveikio vertinimas atliekamas r</w:t>
      </w:r>
      <w:r w:rsidRPr="00632467">
        <w:rPr>
          <w:kern w:val="1"/>
        </w:rPr>
        <w:t>engiant teisės akto, kuriuo numatoma reglamentuoti iki tol nereglamentuotus santykius, taip pat kuriuo iš esmės keičiamas teisinis reguliavimas, projektą.</w:t>
      </w:r>
      <w:r w:rsidRPr="00632467">
        <w:rPr>
          <w:kern w:val="1"/>
          <w:lang w:bidi="lo-LA"/>
        </w:rPr>
        <w:t xml:space="preserve"> </w:t>
      </w:r>
      <w:r w:rsidRPr="00632467">
        <w:rPr>
          <w:kern w:val="1"/>
        </w:rPr>
        <w:t>Atliekant vertinimą, nustatomas galimas teigiamas ir neigiamas poveikis to teisinio reguliavimo sričiai, asmenims ar jų grupėms, kuriems bus taikomas numatomas teisinis reguliavimas.</w:t>
      </w:r>
    </w:p>
    <w:p w:rsidR="00E633A1" w:rsidRDefault="00E633A1" w:rsidP="00E633A1">
      <w:pPr>
        <w:jc w:val="both"/>
        <w:rPr>
          <w:kern w:val="1"/>
        </w:rPr>
      </w:pPr>
      <w:r w:rsidRPr="00632467">
        <w:rPr>
          <w:kern w:val="1"/>
        </w:rPr>
        <w:tab/>
      </w:r>
    </w:p>
    <w:p w:rsidR="00C52599" w:rsidRPr="00632467" w:rsidRDefault="00C52599" w:rsidP="00E633A1">
      <w:pPr>
        <w:jc w:val="both"/>
        <w:rPr>
          <w:kern w:val="1"/>
        </w:rPr>
      </w:pPr>
    </w:p>
    <w:p w:rsidR="00E633A1" w:rsidRPr="00632467" w:rsidRDefault="00E633A1" w:rsidP="00E633A1">
      <w:pPr>
        <w:jc w:val="both"/>
        <w:rPr>
          <w:kern w:val="1"/>
        </w:rPr>
      </w:pPr>
      <w:r w:rsidRPr="00632467">
        <w:rPr>
          <w:kern w:val="1"/>
        </w:rPr>
        <w:tab/>
        <w:t xml:space="preserve">  </w:t>
      </w:r>
    </w:p>
    <w:p w:rsidR="00EB1566" w:rsidRDefault="00E633A1" w:rsidP="000A6105">
      <w:r w:rsidRPr="00632467">
        <w:rPr>
          <w:kern w:val="1"/>
        </w:rPr>
        <w:t>Strateginio planavimo ir investicijų skyriaus vedėja</w:t>
      </w:r>
      <w:r w:rsidRPr="00632467">
        <w:rPr>
          <w:kern w:val="1"/>
        </w:rPr>
        <w:tab/>
        <w:t xml:space="preserve">            </w:t>
      </w:r>
      <w:r w:rsidRPr="00632467">
        <w:rPr>
          <w:kern w:val="1"/>
        </w:rPr>
        <w:tab/>
        <w:t xml:space="preserve">              Kristina Kemešienė</w:t>
      </w:r>
    </w:p>
    <w:p w:rsidR="00EB1566" w:rsidRDefault="00EB1566" w:rsidP="000A6105"/>
    <w:p w:rsidR="00DA5712" w:rsidRDefault="00DA5712" w:rsidP="000A6105"/>
    <w:sectPr w:rsidR="00DA5712" w:rsidSect="00CD75E9">
      <w:pgSz w:w="11906" w:h="16838"/>
      <w:pgMar w:top="1134"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2"/>
  </w:num>
  <w:num w:numId="2">
    <w:abstractNumId w:val="1"/>
  </w:num>
  <w:num w:numId="3">
    <w:abstractNumId w:val="4"/>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396"/>
  <w:drawingGridHorizontalSpacing w:val="187"/>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4C"/>
    <w:rsid w:val="00006B73"/>
    <w:rsid w:val="0001311F"/>
    <w:rsid w:val="0001335D"/>
    <w:rsid w:val="000142CE"/>
    <w:rsid w:val="000208E9"/>
    <w:rsid w:val="000275B2"/>
    <w:rsid w:val="00027D0E"/>
    <w:rsid w:val="00031671"/>
    <w:rsid w:val="00032429"/>
    <w:rsid w:val="00032777"/>
    <w:rsid w:val="00034FC8"/>
    <w:rsid w:val="00045AB4"/>
    <w:rsid w:val="00047717"/>
    <w:rsid w:val="000547EF"/>
    <w:rsid w:val="00076305"/>
    <w:rsid w:val="00082B06"/>
    <w:rsid w:val="0008390B"/>
    <w:rsid w:val="00092017"/>
    <w:rsid w:val="000961DB"/>
    <w:rsid w:val="000A6105"/>
    <w:rsid w:val="000B3862"/>
    <w:rsid w:val="000B5F94"/>
    <w:rsid w:val="000B7D44"/>
    <w:rsid w:val="000C0492"/>
    <w:rsid w:val="000C3A7C"/>
    <w:rsid w:val="000D111A"/>
    <w:rsid w:val="000E1E84"/>
    <w:rsid w:val="00105139"/>
    <w:rsid w:val="00117386"/>
    <w:rsid w:val="00123867"/>
    <w:rsid w:val="00134533"/>
    <w:rsid w:val="00144509"/>
    <w:rsid w:val="00150886"/>
    <w:rsid w:val="0015213F"/>
    <w:rsid w:val="00152863"/>
    <w:rsid w:val="00164232"/>
    <w:rsid w:val="00165FBF"/>
    <w:rsid w:val="00170BF8"/>
    <w:rsid w:val="00175891"/>
    <w:rsid w:val="001801B5"/>
    <w:rsid w:val="00182429"/>
    <w:rsid w:val="0019042C"/>
    <w:rsid w:val="0019374A"/>
    <w:rsid w:val="001A18BB"/>
    <w:rsid w:val="001A2C11"/>
    <w:rsid w:val="001B063A"/>
    <w:rsid w:val="001B6D29"/>
    <w:rsid w:val="001D0180"/>
    <w:rsid w:val="001D5487"/>
    <w:rsid w:val="001E3B97"/>
    <w:rsid w:val="001E53E6"/>
    <w:rsid w:val="001F1F3D"/>
    <w:rsid w:val="00205DB9"/>
    <w:rsid w:val="002067FA"/>
    <w:rsid w:val="002124AF"/>
    <w:rsid w:val="00232E27"/>
    <w:rsid w:val="00240600"/>
    <w:rsid w:val="0025108B"/>
    <w:rsid w:val="0025115D"/>
    <w:rsid w:val="00265D57"/>
    <w:rsid w:val="00270769"/>
    <w:rsid w:val="0027400A"/>
    <w:rsid w:val="00276746"/>
    <w:rsid w:val="00280449"/>
    <w:rsid w:val="002851C4"/>
    <w:rsid w:val="00285248"/>
    <w:rsid w:val="00293141"/>
    <w:rsid w:val="002943FD"/>
    <w:rsid w:val="00294EEE"/>
    <w:rsid w:val="00294FF2"/>
    <w:rsid w:val="002A27EC"/>
    <w:rsid w:val="002B72AE"/>
    <w:rsid w:val="002D4EFE"/>
    <w:rsid w:val="002F4186"/>
    <w:rsid w:val="0030604C"/>
    <w:rsid w:val="003204A0"/>
    <w:rsid w:val="003263B2"/>
    <w:rsid w:val="003579CD"/>
    <w:rsid w:val="00366666"/>
    <w:rsid w:val="003749B3"/>
    <w:rsid w:val="00375617"/>
    <w:rsid w:val="00381DAD"/>
    <w:rsid w:val="003828B6"/>
    <w:rsid w:val="00386E3F"/>
    <w:rsid w:val="00390B08"/>
    <w:rsid w:val="003B4E95"/>
    <w:rsid w:val="003C02D6"/>
    <w:rsid w:val="003C0889"/>
    <w:rsid w:val="003C32DD"/>
    <w:rsid w:val="003D667F"/>
    <w:rsid w:val="003F1495"/>
    <w:rsid w:val="003F4EAB"/>
    <w:rsid w:val="00403383"/>
    <w:rsid w:val="00412836"/>
    <w:rsid w:val="0043728A"/>
    <w:rsid w:val="00443DCD"/>
    <w:rsid w:val="00443F35"/>
    <w:rsid w:val="0044712E"/>
    <w:rsid w:val="004619CE"/>
    <w:rsid w:val="00467266"/>
    <w:rsid w:val="0047087A"/>
    <w:rsid w:val="00473821"/>
    <w:rsid w:val="00475495"/>
    <w:rsid w:val="004866A3"/>
    <w:rsid w:val="0048761D"/>
    <w:rsid w:val="00496388"/>
    <w:rsid w:val="004A05D1"/>
    <w:rsid w:val="004A62C4"/>
    <w:rsid w:val="004E012C"/>
    <w:rsid w:val="004E2811"/>
    <w:rsid w:val="004E4576"/>
    <w:rsid w:val="004E503A"/>
    <w:rsid w:val="004F2381"/>
    <w:rsid w:val="00501354"/>
    <w:rsid w:val="00510604"/>
    <w:rsid w:val="00511EAE"/>
    <w:rsid w:val="005305A5"/>
    <w:rsid w:val="0054228E"/>
    <w:rsid w:val="00544CE3"/>
    <w:rsid w:val="00561308"/>
    <w:rsid w:val="0056679A"/>
    <w:rsid w:val="00590F47"/>
    <w:rsid w:val="005954BA"/>
    <w:rsid w:val="00597244"/>
    <w:rsid w:val="005A0893"/>
    <w:rsid w:val="005A7ED3"/>
    <w:rsid w:val="005B2B6D"/>
    <w:rsid w:val="005C38F0"/>
    <w:rsid w:val="005F4BD9"/>
    <w:rsid w:val="005F71F6"/>
    <w:rsid w:val="00605E26"/>
    <w:rsid w:val="00612023"/>
    <w:rsid w:val="00616FF2"/>
    <w:rsid w:val="00634858"/>
    <w:rsid w:val="006367AC"/>
    <w:rsid w:val="00651F3A"/>
    <w:rsid w:val="00656E5A"/>
    <w:rsid w:val="00660325"/>
    <w:rsid w:val="00680E3A"/>
    <w:rsid w:val="006820F1"/>
    <w:rsid w:val="00685C50"/>
    <w:rsid w:val="00687E54"/>
    <w:rsid w:val="006919E2"/>
    <w:rsid w:val="006A1D3B"/>
    <w:rsid w:val="006B0FBF"/>
    <w:rsid w:val="006B27ED"/>
    <w:rsid w:val="006C3598"/>
    <w:rsid w:val="006D4358"/>
    <w:rsid w:val="006E008E"/>
    <w:rsid w:val="006E6B2D"/>
    <w:rsid w:val="006F1586"/>
    <w:rsid w:val="006F285E"/>
    <w:rsid w:val="00703241"/>
    <w:rsid w:val="00704ABF"/>
    <w:rsid w:val="007077A3"/>
    <w:rsid w:val="00717ADC"/>
    <w:rsid w:val="0072174F"/>
    <w:rsid w:val="0073097B"/>
    <w:rsid w:val="00736C31"/>
    <w:rsid w:val="007448B8"/>
    <w:rsid w:val="0075554A"/>
    <w:rsid w:val="00765806"/>
    <w:rsid w:val="00770003"/>
    <w:rsid w:val="00776299"/>
    <w:rsid w:val="00777C3D"/>
    <w:rsid w:val="007868EB"/>
    <w:rsid w:val="00793295"/>
    <w:rsid w:val="00797A53"/>
    <w:rsid w:val="007A157C"/>
    <w:rsid w:val="007A4702"/>
    <w:rsid w:val="007B446B"/>
    <w:rsid w:val="007B7176"/>
    <w:rsid w:val="007C0629"/>
    <w:rsid w:val="007D11BB"/>
    <w:rsid w:val="007D4930"/>
    <w:rsid w:val="007E5890"/>
    <w:rsid w:val="008005EF"/>
    <w:rsid w:val="00803A2F"/>
    <w:rsid w:val="00821C7B"/>
    <w:rsid w:val="008258AA"/>
    <w:rsid w:val="00827869"/>
    <w:rsid w:val="00844C30"/>
    <w:rsid w:val="008502D1"/>
    <w:rsid w:val="00860A2F"/>
    <w:rsid w:val="008610EB"/>
    <w:rsid w:val="0086137B"/>
    <w:rsid w:val="00865327"/>
    <w:rsid w:val="0086597F"/>
    <w:rsid w:val="00877C96"/>
    <w:rsid w:val="00885D88"/>
    <w:rsid w:val="00890804"/>
    <w:rsid w:val="00893EEC"/>
    <w:rsid w:val="008A26EF"/>
    <w:rsid w:val="008A3E32"/>
    <w:rsid w:val="008B5C59"/>
    <w:rsid w:val="008C17F4"/>
    <w:rsid w:val="008D325D"/>
    <w:rsid w:val="008F13F7"/>
    <w:rsid w:val="008F464A"/>
    <w:rsid w:val="008F4885"/>
    <w:rsid w:val="008F71E6"/>
    <w:rsid w:val="00900F4D"/>
    <w:rsid w:val="0090627A"/>
    <w:rsid w:val="00922923"/>
    <w:rsid w:val="009307EB"/>
    <w:rsid w:val="009557AC"/>
    <w:rsid w:val="00955D94"/>
    <w:rsid w:val="00960D98"/>
    <w:rsid w:val="009661A3"/>
    <w:rsid w:val="0097277A"/>
    <w:rsid w:val="00977C28"/>
    <w:rsid w:val="009817B6"/>
    <w:rsid w:val="00991837"/>
    <w:rsid w:val="009B65A0"/>
    <w:rsid w:val="009D0A8F"/>
    <w:rsid w:val="009D688D"/>
    <w:rsid w:val="009E2591"/>
    <w:rsid w:val="009E7C6E"/>
    <w:rsid w:val="009F621C"/>
    <w:rsid w:val="00A01B51"/>
    <w:rsid w:val="00A14692"/>
    <w:rsid w:val="00A174E4"/>
    <w:rsid w:val="00A22218"/>
    <w:rsid w:val="00A37B4E"/>
    <w:rsid w:val="00A50ED6"/>
    <w:rsid w:val="00A649E6"/>
    <w:rsid w:val="00A678C9"/>
    <w:rsid w:val="00A74390"/>
    <w:rsid w:val="00A756BD"/>
    <w:rsid w:val="00A81B73"/>
    <w:rsid w:val="00A8461E"/>
    <w:rsid w:val="00AC30B6"/>
    <w:rsid w:val="00AC6A79"/>
    <w:rsid w:val="00AE00C3"/>
    <w:rsid w:val="00AE29DB"/>
    <w:rsid w:val="00B071ED"/>
    <w:rsid w:val="00B34B36"/>
    <w:rsid w:val="00B360A7"/>
    <w:rsid w:val="00B61570"/>
    <w:rsid w:val="00B635A5"/>
    <w:rsid w:val="00B702CD"/>
    <w:rsid w:val="00B7526E"/>
    <w:rsid w:val="00B86216"/>
    <w:rsid w:val="00B92E10"/>
    <w:rsid w:val="00B96B77"/>
    <w:rsid w:val="00BA195B"/>
    <w:rsid w:val="00BA54A2"/>
    <w:rsid w:val="00BB03CC"/>
    <w:rsid w:val="00BB1620"/>
    <w:rsid w:val="00BB62F2"/>
    <w:rsid w:val="00BB7020"/>
    <w:rsid w:val="00BC06A3"/>
    <w:rsid w:val="00BC4C84"/>
    <w:rsid w:val="00BC4CE1"/>
    <w:rsid w:val="00BF0067"/>
    <w:rsid w:val="00C0154C"/>
    <w:rsid w:val="00C037AB"/>
    <w:rsid w:val="00C05C22"/>
    <w:rsid w:val="00C352AD"/>
    <w:rsid w:val="00C41DD9"/>
    <w:rsid w:val="00C470B1"/>
    <w:rsid w:val="00C52599"/>
    <w:rsid w:val="00C56275"/>
    <w:rsid w:val="00C60EC9"/>
    <w:rsid w:val="00C61F0F"/>
    <w:rsid w:val="00C6362F"/>
    <w:rsid w:val="00C650FD"/>
    <w:rsid w:val="00C966EE"/>
    <w:rsid w:val="00C967DD"/>
    <w:rsid w:val="00CA1419"/>
    <w:rsid w:val="00CA636B"/>
    <w:rsid w:val="00CB24AC"/>
    <w:rsid w:val="00CC1352"/>
    <w:rsid w:val="00CD167A"/>
    <w:rsid w:val="00CD75E9"/>
    <w:rsid w:val="00CE1093"/>
    <w:rsid w:val="00CF288B"/>
    <w:rsid w:val="00CF5049"/>
    <w:rsid w:val="00CF6C13"/>
    <w:rsid w:val="00CF6EA5"/>
    <w:rsid w:val="00D16715"/>
    <w:rsid w:val="00D20F48"/>
    <w:rsid w:val="00D228EB"/>
    <w:rsid w:val="00D316F5"/>
    <w:rsid w:val="00D33ADA"/>
    <w:rsid w:val="00D35F10"/>
    <w:rsid w:val="00D4220D"/>
    <w:rsid w:val="00D54F76"/>
    <w:rsid w:val="00D55264"/>
    <w:rsid w:val="00D66D70"/>
    <w:rsid w:val="00D71FE4"/>
    <w:rsid w:val="00D77752"/>
    <w:rsid w:val="00D864AD"/>
    <w:rsid w:val="00D977A3"/>
    <w:rsid w:val="00DA1991"/>
    <w:rsid w:val="00DA3353"/>
    <w:rsid w:val="00DA5712"/>
    <w:rsid w:val="00DC46C8"/>
    <w:rsid w:val="00DC5163"/>
    <w:rsid w:val="00DC7F5D"/>
    <w:rsid w:val="00DE6FB2"/>
    <w:rsid w:val="00DF75EF"/>
    <w:rsid w:val="00DF7650"/>
    <w:rsid w:val="00E01DA3"/>
    <w:rsid w:val="00E17D93"/>
    <w:rsid w:val="00E23353"/>
    <w:rsid w:val="00E35AAB"/>
    <w:rsid w:val="00E37BFB"/>
    <w:rsid w:val="00E43A97"/>
    <w:rsid w:val="00E44203"/>
    <w:rsid w:val="00E52DEA"/>
    <w:rsid w:val="00E541AA"/>
    <w:rsid w:val="00E633A1"/>
    <w:rsid w:val="00E65EF7"/>
    <w:rsid w:val="00E7018A"/>
    <w:rsid w:val="00E866AD"/>
    <w:rsid w:val="00E927DB"/>
    <w:rsid w:val="00E975FA"/>
    <w:rsid w:val="00EA1CD5"/>
    <w:rsid w:val="00EB1566"/>
    <w:rsid w:val="00EB2EB9"/>
    <w:rsid w:val="00EB40B5"/>
    <w:rsid w:val="00EB5B38"/>
    <w:rsid w:val="00EB6CCA"/>
    <w:rsid w:val="00ED1E42"/>
    <w:rsid w:val="00EE370F"/>
    <w:rsid w:val="00EE3717"/>
    <w:rsid w:val="00EE3A57"/>
    <w:rsid w:val="00EF1D62"/>
    <w:rsid w:val="00EF5EED"/>
    <w:rsid w:val="00F016CA"/>
    <w:rsid w:val="00F15146"/>
    <w:rsid w:val="00F34ECC"/>
    <w:rsid w:val="00F456E1"/>
    <w:rsid w:val="00F46D7C"/>
    <w:rsid w:val="00F53479"/>
    <w:rsid w:val="00F60662"/>
    <w:rsid w:val="00F649E5"/>
    <w:rsid w:val="00F64E2D"/>
    <w:rsid w:val="00F87449"/>
    <w:rsid w:val="00F87A11"/>
    <w:rsid w:val="00F904C0"/>
    <w:rsid w:val="00F93803"/>
    <w:rsid w:val="00FB4BC1"/>
    <w:rsid w:val="00FB6516"/>
    <w:rsid w:val="00FC114B"/>
    <w:rsid w:val="00FC41ED"/>
    <w:rsid w:val="00FD100A"/>
    <w:rsid w:val="00FD4E80"/>
    <w:rsid w:val="00FE5214"/>
    <w:rsid w:val="00FE69A0"/>
    <w:rsid w:val="00FE7D0D"/>
    <w:rsid w:val="00FF0665"/>
    <w:rsid w:val="00FF2E9F"/>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3324EC-DF6C-42BC-B3C5-52EF47B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paragraph" w:styleId="Sraopastraipa">
    <w:name w:val="List Paragraph"/>
    <w:basedOn w:val="prastasis"/>
    <w:uiPriority w:val="34"/>
    <w:qFormat/>
    <w:rsid w:val="00280449"/>
    <w:pPr>
      <w:spacing w:after="200" w:line="276" w:lineRule="auto"/>
      <w:ind w:left="720"/>
      <w:contextualSpacing/>
    </w:pPr>
    <w:rPr>
      <w:rFonts w:ascii="Calibri" w:eastAsia="Calibri" w:hAnsi="Calibri"/>
      <w:sz w:val="22"/>
      <w:szCs w:val="22"/>
    </w:rPr>
  </w:style>
  <w:style w:type="table" w:styleId="Lentelstinklelis">
    <w:name w:val="Table Grid"/>
    <w:basedOn w:val="prastojilentel"/>
    <w:rsid w:val="0073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83">
      <w:bodyDiv w:val="1"/>
      <w:marLeft w:val="0"/>
      <w:marRight w:val="0"/>
      <w:marTop w:val="0"/>
      <w:marBottom w:val="0"/>
      <w:divBdr>
        <w:top w:val="none" w:sz="0" w:space="0" w:color="auto"/>
        <w:left w:val="none" w:sz="0" w:space="0" w:color="auto"/>
        <w:bottom w:val="none" w:sz="0" w:space="0" w:color="auto"/>
        <w:right w:val="none" w:sz="0" w:space="0" w:color="auto"/>
      </w:divBdr>
    </w:div>
    <w:div w:id="281890505">
      <w:bodyDiv w:val="1"/>
      <w:marLeft w:val="0"/>
      <w:marRight w:val="0"/>
      <w:marTop w:val="0"/>
      <w:marBottom w:val="0"/>
      <w:divBdr>
        <w:top w:val="none" w:sz="0" w:space="0" w:color="auto"/>
        <w:left w:val="none" w:sz="0" w:space="0" w:color="auto"/>
        <w:bottom w:val="none" w:sz="0" w:space="0" w:color="auto"/>
        <w:right w:val="none" w:sz="0" w:space="0" w:color="auto"/>
      </w:divBdr>
    </w:div>
    <w:div w:id="338435414">
      <w:bodyDiv w:val="1"/>
      <w:marLeft w:val="0"/>
      <w:marRight w:val="0"/>
      <w:marTop w:val="0"/>
      <w:marBottom w:val="0"/>
      <w:divBdr>
        <w:top w:val="none" w:sz="0" w:space="0" w:color="auto"/>
        <w:left w:val="none" w:sz="0" w:space="0" w:color="auto"/>
        <w:bottom w:val="none" w:sz="0" w:space="0" w:color="auto"/>
        <w:right w:val="none" w:sz="0" w:space="0" w:color="auto"/>
      </w:divBdr>
    </w:div>
    <w:div w:id="446971910">
      <w:bodyDiv w:val="1"/>
      <w:marLeft w:val="0"/>
      <w:marRight w:val="0"/>
      <w:marTop w:val="0"/>
      <w:marBottom w:val="0"/>
      <w:divBdr>
        <w:top w:val="none" w:sz="0" w:space="0" w:color="auto"/>
        <w:left w:val="none" w:sz="0" w:space="0" w:color="auto"/>
        <w:bottom w:val="none" w:sz="0" w:space="0" w:color="auto"/>
        <w:right w:val="none" w:sz="0" w:space="0" w:color="auto"/>
      </w:divBdr>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469127312">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20934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6AEF-A69B-4E73-B290-309C7B9F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8339</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KRS-315-1</dc:creator>
  <cp:keywords/>
  <cp:lastModifiedBy>Vartotoja</cp:lastModifiedBy>
  <cp:revision>2</cp:revision>
  <cp:lastPrinted>2019-06-17T12:45:00Z</cp:lastPrinted>
  <dcterms:created xsi:type="dcterms:W3CDTF">2022-02-09T11:21:00Z</dcterms:created>
  <dcterms:modified xsi:type="dcterms:W3CDTF">2022-02-09T11:21:00Z</dcterms:modified>
</cp:coreProperties>
</file>