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9A57240" w14:textId="77777777" w:rsidR="002E7407" w:rsidRDefault="002E740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61BC7D19" w14:textId="2554FDE3" w:rsidR="002E7407" w:rsidRPr="002E7407" w:rsidRDefault="002E7407"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2E7407">
        <w:rPr>
          <w:rFonts w:ascii="Times New Roman" w:eastAsia="Times New Roman" w:hAnsi="Times New Roman" w:cs="Times New Roman"/>
          <w:bCs/>
          <w:sz w:val="24"/>
          <w:szCs w:val="24"/>
          <w:lang w:val="lt-LT" w:eastAsia="lt-LT"/>
        </w:rPr>
        <w:t>2023</w:t>
      </w:r>
      <w:r w:rsidR="00FC6843">
        <w:rPr>
          <w:rFonts w:ascii="Times New Roman" w:eastAsia="Times New Roman" w:hAnsi="Times New Roman" w:cs="Times New Roman"/>
          <w:bCs/>
          <w:sz w:val="24"/>
          <w:szCs w:val="24"/>
          <w:lang w:val="lt-LT" w:eastAsia="lt-LT"/>
        </w:rPr>
        <w:t xml:space="preserve"> m. gruodžio </w:t>
      </w:r>
      <w:r w:rsidR="00641F89">
        <w:rPr>
          <w:rFonts w:ascii="Times New Roman" w:eastAsia="Times New Roman" w:hAnsi="Times New Roman" w:cs="Times New Roman"/>
          <w:bCs/>
          <w:sz w:val="24"/>
          <w:szCs w:val="24"/>
          <w:lang w:val="lt-LT" w:eastAsia="lt-LT"/>
        </w:rPr>
        <w:t>12</w:t>
      </w:r>
      <w:r w:rsidR="00FC6843">
        <w:rPr>
          <w:rFonts w:ascii="Times New Roman" w:eastAsia="Times New Roman" w:hAnsi="Times New Roman" w:cs="Times New Roman"/>
          <w:bCs/>
          <w:sz w:val="24"/>
          <w:szCs w:val="24"/>
          <w:lang w:val="lt-LT" w:eastAsia="lt-LT"/>
        </w:rPr>
        <w:t xml:space="preserve"> d. </w:t>
      </w:r>
      <w:r w:rsidR="00777585">
        <w:rPr>
          <w:rFonts w:ascii="Times New Roman" w:eastAsia="Times New Roman" w:hAnsi="Times New Roman" w:cs="Times New Roman"/>
          <w:bCs/>
          <w:sz w:val="24"/>
          <w:szCs w:val="24"/>
          <w:lang w:val="lt-LT" w:eastAsia="lt-LT"/>
        </w:rPr>
        <w:t xml:space="preserve">  </w:t>
      </w:r>
      <w:r w:rsidR="00297137">
        <w:rPr>
          <w:rFonts w:ascii="Times New Roman" w:eastAsia="Times New Roman" w:hAnsi="Times New Roman" w:cs="Times New Roman"/>
          <w:bCs/>
          <w:sz w:val="24"/>
          <w:szCs w:val="24"/>
          <w:lang w:val="lt-LT" w:eastAsia="lt-LT"/>
        </w:rPr>
        <w:t xml:space="preserve">  </w:t>
      </w:r>
      <w:r w:rsidRPr="002E7407">
        <w:rPr>
          <w:rFonts w:ascii="Times New Roman" w:eastAsia="Times New Roman" w:hAnsi="Times New Roman" w:cs="Times New Roman"/>
          <w:bCs/>
          <w:sz w:val="24"/>
          <w:szCs w:val="24"/>
          <w:lang w:val="lt-LT" w:eastAsia="lt-LT"/>
        </w:rPr>
        <w:t>Nr.</w:t>
      </w:r>
      <w:r w:rsidR="001E493B">
        <w:rPr>
          <w:rFonts w:ascii="Times New Roman" w:eastAsia="Times New Roman" w:hAnsi="Times New Roman" w:cs="Times New Roman"/>
          <w:bCs/>
          <w:sz w:val="24"/>
          <w:szCs w:val="24"/>
          <w:lang w:val="lt-LT" w:eastAsia="lt-LT"/>
        </w:rPr>
        <w:t xml:space="preserve"> D2-</w:t>
      </w:r>
      <w:r w:rsidR="00641F89">
        <w:rPr>
          <w:rFonts w:ascii="Times New Roman" w:eastAsia="Times New Roman" w:hAnsi="Times New Roman" w:cs="Times New Roman"/>
          <w:bCs/>
          <w:sz w:val="24"/>
          <w:szCs w:val="24"/>
          <w:lang w:val="lt-LT" w:eastAsia="lt-LT"/>
        </w:rPr>
        <w:t>494</w:t>
      </w:r>
    </w:p>
    <w:p w14:paraId="25A82EBD" w14:textId="4B737907" w:rsidR="002E7407" w:rsidRPr="002E7407" w:rsidRDefault="002E7407"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2E7407">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A5CED91"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874D2F" w:rsidRPr="00874D2F">
        <w:rPr>
          <w:rFonts w:ascii="Times New Roman" w:eastAsia="Times New Roman" w:hAnsi="Times New Roman" w:cs="Times New Roman"/>
          <w:sz w:val="24"/>
          <w:szCs w:val="24"/>
          <w:lang w:val="lt-LT" w:eastAsia="lt-LT"/>
        </w:rPr>
        <w:t>DĖL DIDŽIAUSIO LEISTINO VALSTYBĖS TARNAUTOJŲ IR  DARBUOTOJŲ, DIRBANČIŲ PAGAL DARBO SUTARTIS IR GAUNANČIŲ DARBO UŽMOKESTĮ IŠ SAVIVALDYBĖS BIUDŽETO, PAREIGYBIŲ SKAIČIAUS KĖDAINIŲ RAJONO SAVIVALDYBĖS INSTITUCIJOSE IR ĮSTAIGOSE 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849E98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44FB7">
        <w:rPr>
          <w:rFonts w:ascii="Times New Roman" w:eastAsia="Times New Roman" w:hAnsi="Times New Roman" w:cs="Times New Roman"/>
          <w:sz w:val="24"/>
          <w:szCs w:val="24"/>
          <w:u w:val="single"/>
          <w:lang w:val="lt-LT" w:eastAsia="lt-LT"/>
        </w:rPr>
        <w:t>teisės akto pakeitimo 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3B8B4F" w:rsidR="00122867" w:rsidRPr="008E59E3" w:rsidRDefault="00E755D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w:t>
            </w:r>
            <w:r w:rsidRPr="00122867">
              <w:rPr>
                <w:rFonts w:ascii="Times New Roman" w:eastAsia="Times New Roman" w:hAnsi="Times New Roman" w:cs="Times New Roman"/>
                <w:sz w:val="24"/>
                <w:szCs w:val="20"/>
                <w:lang w:val="lt-LT"/>
              </w:rPr>
              <w:lastRenderedPageBreak/>
              <w:t xml:space="preserve">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projektas nustato </w:t>
            </w:r>
            <w:r w:rsidRPr="00122867">
              <w:rPr>
                <w:rFonts w:ascii="Times New Roman" w:eastAsia="Times New Roman" w:hAnsi="Times New Roman" w:cs="Times New Roman"/>
                <w:sz w:val="24"/>
                <w:szCs w:val="24"/>
                <w:lang w:val="lt-LT" w:eastAsia="lt-LT"/>
              </w:rPr>
              <w:lastRenderedPageBreak/>
              <w:t>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lastRenderedPageBreak/>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2E7407" w:rsidRPr="007E0010" w14:paraId="05BB8892" w14:textId="77777777" w:rsidTr="007E0010">
        <w:trPr>
          <w:gridAfter w:val="11"/>
          <w:wAfter w:w="15163" w:type="dxa"/>
          <w:trHeight w:val="23"/>
        </w:trPr>
        <w:tc>
          <w:tcPr>
            <w:tcW w:w="40" w:type="dxa"/>
          </w:tcPr>
          <w:p w14:paraId="3A5E4113" w14:textId="77777777" w:rsidR="002E7407" w:rsidRPr="007E0010" w:rsidRDefault="002E7407"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2E7407">
      <w:headerReference w:type="default" r:id="rId6"/>
      <w:footerReference w:type="default" r:id="rId7"/>
      <w:headerReference w:type="first" r:id="rId8"/>
      <w:footerReference w:type="first" r:id="rId9"/>
      <w:pgSz w:w="16838" w:h="11906" w:orient="landscape"/>
      <w:pgMar w:top="567"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4BF1" w14:textId="77777777" w:rsidR="004A0AA0" w:rsidRDefault="004A0AA0">
      <w:pPr>
        <w:spacing w:after="0" w:line="240" w:lineRule="auto"/>
      </w:pPr>
      <w:r>
        <w:separator/>
      </w:r>
    </w:p>
  </w:endnote>
  <w:endnote w:type="continuationSeparator" w:id="0">
    <w:p w14:paraId="527B3C3D" w14:textId="77777777" w:rsidR="004A0AA0" w:rsidRDefault="004A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DF0E" w14:textId="77777777" w:rsidR="004A0AA0" w:rsidRDefault="004A0AA0">
      <w:pPr>
        <w:spacing w:after="0" w:line="240" w:lineRule="auto"/>
      </w:pPr>
      <w:r>
        <w:separator/>
      </w:r>
    </w:p>
  </w:footnote>
  <w:footnote w:type="continuationSeparator" w:id="0">
    <w:p w14:paraId="70A68459" w14:textId="77777777" w:rsidR="004A0AA0" w:rsidRDefault="004A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326E"/>
    <w:rsid w:val="000B308D"/>
    <w:rsid w:val="000D7D8A"/>
    <w:rsid w:val="00122867"/>
    <w:rsid w:val="00123AAE"/>
    <w:rsid w:val="00183CD3"/>
    <w:rsid w:val="001E493B"/>
    <w:rsid w:val="001F4BD7"/>
    <w:rsid w:val="002275F8"/>
    <w:rsid w:val="00234F97"/>
    <w:rsid w:val="00297137"/>
    <w:rsid w:val="002C0FCB"/>
    <w:rsid w:val="002D040E"/>
    <w:rsid w:val="002D0B4C"/>
    <w:rsid w:val="002E611C"/>
    <w:rsid w:val="002E7407"/>
    <w:rsid w:val="003470AB"/>
    <w:rsid w:val="00380D21"/>
    <w:rsid w:val="004A0AA0"/>
    <w:rsid w:val="004A3C05"/>
    <w:rsid w:val="004A6438"/>
    <w:rsid w:val="004C02EC"/>
    <w:rsid w:val="004E2742"/>
    <w:rsid w:val="004F79E4"/>
    <w:rsid w:val="005D6A17"/>
    <w:rsid w:val="005F2F6F"/>
    <w:rsid w:val="00641F89"/>
    <w:rsid w:val="00666E0D"/>
    <w:rsid w:val="00672562"/>
    <w:rsid w:val="00672A2C"/>
    <w:rsid w:val="00777585"/>
    <w:rsid w:val="007E0010"/>
    <w:rsid w:val="007E5D95"/>
    <w:rsid w:val="00837797"/>
    <w:rsid w:val="00855D5C"/>
    <w:rsid w:val="0086652B"/>
    <w:rsid w:val="00874D2F"/>
    <w:rsid w:val="00891FAE"/>
    <w:rsid w:val="008E59E3"/>
    <w:rsid w:val="00944FB7"/>
    <w:rsid w:val="009A334E"/>
    <w:rsid w:val="009E1CA9"/>
    <w:rsid w:val="00B310EC"/>
    <w:rsid w:val="00B43ECA"/>
    <w:rsid w:val="00B443B2"/>
    <w:rsid w:val="00BC2B03"/>
    <w:rsid w:val="00BC5A9C"/>
    <w:rsid w:val="00BE5A20"/>
    <w:rsid w:val="00C219CD"/>
    <w:rsid w:val="00C41A89"/>
    <w:rsid w:val="00C61880"/>
    <w:rsid w:val="00C96404"/>
    <w:rsid w:val="00CC75E4"/>
    <w:rsid w:val="00D32D5E"/>
    <w:rsid w:val="00D66972"/>
    <w:rsid w:val="00E6368F"/>
    <w:rsid w:val="00E712CE"/>
    <w:rsid w:val="00E755DA"/>
    <w:rsid w:val="00E861EC"/>
    <w:rsid w:val="00ED12EF"/>
    <w:rsid w:val="00F53C5D"/>
    <w:rsid w:val="00FC6843"/>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6498</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Renata Laučienė</cp:lastModifiedBy>
  <cp:revision>2</cp:revision>
  <cp:lastPrinted>2022-10-17T06:14:00Z</cp:lastPrinted>
  <dcterms:created xsi:type="dcterms:W3CDTF">2023-12-14T09:55:00Z</dcterms:created>
  <dcterms:modified xsi:type="dcterms:W3CDTF">2023-12-14T09:55:00Z</dcterms:modified>
</cp:coreProperties>
</file>