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23" w:rsidRDefault="00996424">
      <w:pPr>
        <w:tabs>
          <w:tab w:val="left" w:pos="2880"/>
        </w:tabs>
        <w:rPr>
          <w:b/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b/>
          <w:lang w:eastAsia="ar-SA"/>
        </w:rPr>
        <w:t>Projektas</w:t>
      </w:r>
    </w:p>
    <w:p w:rsidR="007B7823" w:rsidRDefault="007B7823">
      <w:pPr>
        <w:tabs>
          <w:tab w:val="left" w:pos="2880"/>
        </w:tabs>
        <w:rPr>
          <w:b/>
          <w:lang w:eastAsia="ar-SA"/>
        </w:rPr>
      </w:pPr>
    </w:p>
    <w:p w:rsidR="007B7823" w:rsidRDefault="00996424">
      <w:pPr>
        <w:spacing w:line="0" w:lineRule="atLeast"/>
        <w:jc w:val="center"/>
        <w:rPr>
          <w:rFonts w:eastAsia="Times New Roman"/>
          <w:lang w:eastAsia="ar-SA"/>
        </w:rPr>
      </w:pPr>
      <w:r>
        <w:rPr>
          <w:rFonts w:eastAsia="Times New Roman"/>
          <w:noProof/>
          <w:lang w:eastAsia="ar-SA"/>
        </w:rPr>
        <w:drawing>
          <wp:inline distT="0" distB="0" distL="0" distR="0">
            <wp:extent cx="481330" cy="56705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8" t="-41" r="-48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823" w:rsidRDefault="007B7823">
      <w:pPr>
        <w:jc w:val="center"/>
        <w:rPr>
          <w:rFonts w:eastAsia="Times New Roman"/>
          <w:lang w:eastAsia="ar-SA"/>
        </w:rPr>
      </w:pPr>
    </w:p>
    <w:p w:rsidR="007B7823" w:rsidRDefault="00996424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kėdainių rajono savivaldybėS TARYBA</w:t>
      </w:r>
    </w:p>
    <w:p w:rsidR="007B7823" w:rsidRDefault="007B7823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</w:p>
    <w:p w:rsidR="007B7823" w:rsidRDefault="00996424">
      <w:pPr>
        <w:spacing w:line="200" w:lineRule="atLeast"/>
        <w:jc w:val="center"/>
        <w:rPr>
          <w:rFonts w:eastAsia="Times New Roman"/>
          <w:b/>
          <w:bCs/>
          <w:caps/>
          <w:lang w:eastAsia="ar-SA"/>
        </w:rPr>
      </w:pPr>
      <w:r>
        <w:rPr>
          <w:rFonts w:eastAsia="Times New Roman"/>
          <w:b/>
          <w:bCs/>
          <w:caps/>
          <w:lang w:eastAsia="ar-SA"/>
        </w:rPr>
        <w:t>SPRENDIMAS</w:t>
      </w:r>
    </w:p>
    <w:p w:rsidR="007B7823" w:rsidRDefault="00996424">
      <w:pPr>
        <w:tabs>
          <w:tab w:val="left" w:pos="2880"/>
        </w:tabs>
        <w:jc w:val="center"/>
        <w:rPr>
          <w:b/>
        </w:rPr>
      </w:pPr>
      <w:r>
        <w:rPr>
          <w:b/>
        </w:rPr>
        <w:t xml:space="preserve">DĖL AB ,,PANEVĖŽIO ENERGIJA“ </w:t>
      </w:r>
      <w:bookmarkStart w:id="0" w:name="_Hlk71200274"/>
      <w:r>
        <w:rPr>
          <w:b/>
        </w:rPr>
        <w:t xml:space="preserve">2023 METŲ INVESTICIJŲ </w:t>
      </w:r>
    </w:p>
    <w:p w:rsidR="007B7823" w:rsidRDefault="00996424">
      <w:pPr>
        <w:tabs>
          <w:tab w:val="left" w:pos="2880"/>
        </w:tabs>
        <w:jc w:val="center"/>
        <w:rPr>
          <w:b/>
        </w:rPr>
      </w:pPr>
      <w:r>
        <w:rPr>
          <w:b/>
        </w:rPr>
        <w:t xml:space="preserve">KĖDAINIŲ ŠILUMOS TINKLŲ RAJONE </w:t>
      </w:r>
      <w:bookmarkEnd w:id="0"/>
      <w:r>
        <w:rPr>
          <w:b/>
        </w:rPr>
        <w:t>DERINIMO</w:t>
      </w:r>
    </w:p>
    <w:p w:rsidR="007B7823" w:rsidRDefault="007B7823">
      <w:pPr>
        <w:tabs>
          <w:tab w:val="left" w:pos="2880"/>
        </w:tabs>
        <w:jc w:val="center"/>
        <w:rPr>
          <w:b/>
        </w:rPr>
      </w:pPr>
    </w:p>
    <w:p w:rsidR="007B7823" w:rsidRDefault="00996424">
      <w:pPr>
        <w:widowControl w:val="0"/>
        <w:jc w:val="center"/>
        <w:rPr>
          <w:rFonts w:eastAsia="Lucida Sans Unicode"/>
          <w:bCs/>
          <w:spacing w:val="3"/>
          <w:lang w:eastAsia="lt-LT"/>
        </w:rPr>
      </w:pPr>
      <w:bookmarkStart w:id="1" w:name="_Hlk71205132"/>
      <w:bookmarkEnd w:id="1"/>
      <w:r>
        <w:rPr>
          <w:rFonts w:eastAsia="Lucida Sans Unicode"/>
          <w:bCs/>
          <w:spacing w:val="3"/>
          <w:lang w:eastAsia="lt-LT"/>
        </w:rPr>
        <w:t>2024 m. birželio 19</w:t>
      </w:r>
      <w:r>
        <w:rPr>
          <w:rFonts w:eastAsia="Lucida Sans Unicode"/>
          <w:bCs/>
          <w:spacing w:val="3"/>
          <w:lang w:eastAsia="lt-LT"/>
        </w:rPr>
        <w:t xml:space="preserve"> d. Nr. SP-262</w:t>
      </w:r>
      <w:bookmarkStart w:id="2" w:name="_GoBack"/>
      <w:bookmarkEnd w:id="2"/>
    </w:p>
    <w:p w:rsidR="007B7823" w:rsidRDefault="00996424">
      <w:pPr>
        <w:widowControl w:val="0"/>
        <w:jc w:val="center"/>
        <w:outlineLvl w:val="0"/>
        <w:rPr>
          <w:rFonts w:eastAsia="Lucida Sans Unicode"/>
          <w:spacing w:val="3"/>
          <w:lang w:eastAsia="lt-LT"/>
        </w:rPr>
      </w:pPr>
      <w:r>
        <w:rPr>
          <w:rFonts w:eastAsia="Lucida Sans Unicode"/>
          <w:spacing w:val="3"/>
          <w:lang w:eastAsia="lt-LT"/>
        </w:rPr>
        <w:t>Kėdainiai</w:t>
      </w:r>
    </w:p>
    <w:p w:rsidR="007B7823" w:rsidRDefault="007B7823">
      <w:pPr>
        <w:widowControl w:val="0"/>
        <w:jc w:val="center"/>
        <w:rPr>
          <w:rFonts w:eastAsia="Lucida Sans Unicode"/>
          <w:spacing w:val="3"/>
          <w:lang w:eastAsia="lt-LT"/>
        </w:rPr>
      </w:pPr>
    </w:p>
    <w:p w:rsidR="007B7823" w:rsidRDefault="00996424">
      <w:pPr>
        <w:tabs>
          <w:tab w:val="left" w:pos="2880"/>
        </w:tabs>
        <w:ind w:left="-360" w:firstLine="927"/>
        <w:jc w:val="both"/>
      </w:pPr>
      <w:r>
        <w:rPr>
          <w:bCs/>
        </w:rPr>
        <w:t xml:space="preserve">Vadovaudamasi Lietuvos Respublikos vietos savivaldos įstatymo </w:t>
      </w:r>
      <w:r>
        <w:t>15 straipsnio 4 dalimi</w:t>
      </w:r>
      <w:r>
        <w:rPr>
          <w:bCs/>
        </w:rPr>
        <w:t>, Lietuvos Respublikos šilumos ūkio įstatymo 35 straipsniu,</w:t>
      </w:r>
      <w:r>
        <w:t xml:space="preserve"> Šilumos tiekėjų, nepriklausomų šilumos gamintojų, geriamojo vandens tiekėjų ir nuotekų tvarkytojų, paviršinių nu</w:t>
      </w:r>
      <w:r>
        <w:t>otekų tvarkytojų investicijų vertinimo ir derinimo Valstybinėje energetikos reguliavimo taryboje tvarkos aprašo, patvirtinto Valstybinės energetikos reguliavimo tarybos 2019 m. balandžio 1 d. nutarimu     Nr. O3E-93 „Dėl Šilumos tiekėjų, nepriklausomų šilu</w:t>
      </w:r>
      <w:r>
        <w:t>mos gamintojų, geriamojo vandens tiekėjų ir nuotekų tvarkytojų, paviršinių nuotekų tvarkytojų investicijų vertinimo ir derinimo Valstybinėje energetikos reguliavimo taryboje tvarkos aprašo patvirtinimo“, 32</w:t>
      </w:r>
      <w:r>
        <w:rPr>
          <w:vertAlign w:val="superscript"/>
        </w:rPr>
        <w:t>1</w:t>
      </w:r>
      <w:r>
        <w:t xml:space="preserve"> punktu, </w:t>
      </w:r>
      <w:r>
        <w:rPr>
          <w:bCs/>
        </w:rPr>
        <w:t>atsižvelgdama į Šilumos tiekėjų investic</w:t>
      </w:r>
      <w:r>
        <w:rPr>
          <w:bCs/>
        </w:rPr>
        <w:t xml:space="preserve">inių planų derinimo tvarkos aprašą, patvirtintą Kėdainių rajono savivaldybės tarybos 2017 m. gegužės 26 d. sprendimu Nr. TS-113 ,,Dėl Šilumos tiekėjų investicinių planų derinimo tvarkos aprašo patvirtinimo“, ir į AB ,,Panevėžio energija“ </w:t>
      </w:r>
      <w:bookmarkStart w:id="3" w:name="_Hlk484702759"/>
      <w:r>
        <w:rPr>
          <w:bCs/>
        </w:rPr>
        <w:t>2024 m. gegužės 30</w:t>
      </w:r>
      <w:r>
        <w:rPr>
          <w:bCs/>
        </w:rPr>
        <w:t xml:space="preserve"> d. raštą Nr. S24-010-0531 ,,Dėl</w:t>
      </w:r>
      <w:r>
        <w:t xml:space="preserve"> investicijų </w:t>
      </w:r>
      <w:r>
        <w:rPr>
          <w:bCs/>
        </w:rPr>
        <w:t>derinimo“</w:t>
      </w:r>
      <w:bookmarkEnd w:id="3"/>
      <w:r>
        <w:rPr>
          <w:bCs/>
        </w:rPr>
        <w:t xml:space="preserve">, </w:t>
      </w:r>
      <w:bookmarkStart w:id="4" w:name="_Hlk484764534"/>
      <w:r>
        <w:rPr>
          <w:bCs/>
        </w:rPr>
        <w:t xml:space="preserve">Kėdainių rajono savivaldybės taryba </w:t>
      </w:r>
      <w:bookmarkEnd w:id="4"/>
      <w:r>
        <w:rPr>
          <w:bCs/>
        </w:rPr>
        <w:t>n u s p r e n d ž i a</w:t>
      </w:r>
      <w:r>
        <w:t>:</w:t>
      </w:r>
    </w:p>
    <w:p w:rsidR="007B7823" w:rsidRDefault="00996424">
      <w:pPr>
        <w:tabs>
          <w:tab w:val="left" w:pos="2880"/>
        </w:tabs>
        <w:ind w:left="-360" w:firstLine="927"/>
        <w:jc w:val="both"/>
      </w:pPr>
      <w:r>
        <w:t xml:space="preserve">Derinti </w:t>
      </w:r>
      <w:bookmarkStart w:id="5" w:name="_Hlk484764988"/>
      <w:r>
        <w:t>AB ,,Panevėžio energija“</w:t>
      </w:r>
      <w:bookmarkEnd w:id="5"/>
      <w:r>
        <w:t xml:space="preserve"> </w:t>
      </w:r>
      <w:bookmarkStart w:id="6" w:name="_Hlk71205293"/>
      <w:r>
        <w:rPr>
          <w:bCs/>
        </w:rPr>
        <w:t xml:space="preserve">2023 metų investicijas Kėdainių šilumos tinklų rajone </w:t>
      </w:r>
      <w:bookmarkStart w:id="7" w:name="_Hlk71201206"/>
      <w:bookmarkEnd w:id="6"/>
      <w:r>
        <w:rPr>
          <w:bCs/>
        </w:rPr>
        <w:t>(pridedama).</w:t>
      </w:r>
    </w:p>
    <w:bookmarkEnd w:id="7"/>
    <w:p w:rsidR="007B7823" w:rsidRDefault="00996424">
      <w:pPr>
        <w:tabs>
          <w:tab w:val="left" w:pos="2880"/>
        </w:tabs>
        <w:ind w:left="-360" w:firstLine="927"/>
        <w:jc w:val="both"/>
      </w:pPr>
      <w:r>
        <w:t>Šis sprendimas per vieną mėnesį nuo spren</w:t>
      </w:r>
      <w:r>
        <w:t>dimo įteikimo dienos gali būti skundžiamas Lietuvos administracinių ginčų komisijos Kauno apygardos skyriui adresu: Laisvės al. 36, Kaunas, Lietuvos Respublikos ikiteisminio administracinių ginčų nagrinėjimo tvarkos įstatymo nustatyta tvarka arba Regionų a</w:t>
      </w:r>
      <w:r>
        <w:t>dministraciniam teismui bet kuriuose šio teismo rūmuose Lietuvos Respublikos administracinių bylų teisenos įstatymo nustatyta tvarka.</w:t>
      </w: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996424">
      <w:pPr>
        <w:tabs>
          <w:tab w:val="left" w:pos="0"/>
        </w:tabs>
        <w:ind w:left="-360"/>
      </w:pPr>
      <w:r>
        <w:t>Savivaldybės meras</w:t>
      </w: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</w:pPr>
    </w:p>
    <w:p w:rsidR="007B7823" w:rsidRDefault="00996424">
      <w:pPr>
        <w:tabs>
          <w:tab w:val="left" w:pos="0"/>
        </w:tabs>
        <w:ind w:left="-360"/>
      </w:pPr>
      <w:r>
        <w:br w:type="page"/>
      </w:r>
    </w:p>
    <w:p w:rsidR="007B7823" w:rsidRDefault="00996424">
      <w:pPr>
        <w:ind w:left="5184"/>
        <w:jc w:val="both"/>
      </w:pPr>
      <w:r>
        <w:lastRenderedPageBreak/>
        <w:t>Kėdainių rajono savivaldybės tarybos</w:t>
      </w:r>
    </w:p>
    <w:p w:rsidR="007B7823" w:rsidRDefault="00996424">
      <w:pPr>
        <w:ind w:left="5184"/>
        <w:jc w:val="both"/>
      </w:pPr>
      <w:r>
        <w:t xml:space="preserve">2024 m. birželio       d. sprendimo Nr. TS-      </w:t>
      </w:r>
      <w:r>
        <w:t xml:space="preserve">  priedas</w:t>
      </w:r>
    </w:p>
    <w:p w:rsidR="007B7823" w:rsidRDefault="007B7823">
      <w:pPr>
        <w:jc w:val="center"/>
      </w:pPr>
    </w:p>
    <w:p w:rsidR="007B7823" w:rsidRDefault="007B7823">
      <w:pPr>
        <w:jc w:val="center"/>
      </w:pPr>
    </w:p>
    <w:p w:rsidR="007B7823" w:rsidRDefault="00996424">
      <w:pPr>
        <w:jc w:val="center"/>
        <w:rPr>
          <w:b/>
          <w:bCs/>
        </w:rPr>
      </w:pPr>
      <w:r>
        <w:t>A</w:t>
      </w:r>
      <w:r>
        <w:rPr>
          <w:b/>
          <w:bCs/>
        </w:rPr>
        <w:t xml:space="preserve">B „PANEVĖŽIO ENERGIJA“ 2023 METŲ INVESTICIJOS </w:t>
      </w:r>
    </w:p>
    <w:p w:rsidR="007B7823" w:rsidRDefault="00996424">
      <w:pPr>
        <w:jc w:val="center"/>
        <w:rPr>
          <w:b/>
          <w:bCs/>
        </w:rPr>
      </w:pPr>
      <w:r>
        <w:rPr>
          <w:b/>
          <w:bCs/>
        </w:rPr>
        <w:t xml:space="preserve">KĖDAINIŲ ŠILUMOS TINKLŲ RAJONE </w:t>
      </w:r>
    </w:p>
    <w:p w:rsidR="007B7823" w:rsidRDefault="007B7823">
      <w:pPr>
        <w:jc w:val="center"/>
        <w:rPr>
          <w:b/>
          <w:bCs/>
          <w:sz w:val="20"/>
        </w:rPr>
      </w:pPr>
    </w:p>
    <w:p w:rsidR="007B7823" w:rsidRDefault="007B7823">
      <w:pPr>
        <w:jc w:val="center"/>
        <w:rPr>
          <w:sz w:val="20"/>
        </w:rPr>
      </w:pPr>
    </w:p>
    <w:tbl>
      <w:tblPr>
        <w:tblW w:w="102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176"/>
        <w:gridCol w:w="1553"/>
        <w:gridCol w:w="2119"/>
      </w:tblGrid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jc w:val="center"/>
              <w:rPr>
                <w:rFonts w:eastAsia="Calibri"/>
                <w:b/>
                <w:sz w:val="22"/>
              </w:rPr>
            </w:pPr>
          </w:p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Pavadinimas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Finansavimo šaltinis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Įvykdymo metai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jc w:val="center"/>
            </w:pPr>
            <w:r>
              <w:rPr>
                <w:rFonts w:eastAsia="Calibri"/>
                <w:b/>
                <w:sz w:val="22"/>
              </w:rPr>
              <w:t xml:space="preserve">Investicijų vertė, </w:t>
            </w:r>
          </w:p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tūkst. Eur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Trumpa charakteristika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Saulės fotovoltinės elektrinės </w:t>
            </w:r>
            <w:r>
              <w:rPr>
                <w:rFonts w:eastAsia="Calibri"/>
                <w:sz w:val="22"/>
              </w:rPr>
              <w:t>įrengimas Kėdainių RK teritorijoje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69,8% PE lėšos   </w:t>
            </w:r>
          </w:p>
          <w:p w:rsidR="007B7823" w:rsidRDefault="00996424">
            <w:r>
              <w:rPr>
                <w:rFonts w:eastAsia="Calibri"/>
                <w:sz w:val="22"/>
              </w:rPr>
              <w:t>30,2% dotacijos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73,8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99 kW galios saulės fotovoltinė elektrinė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Iš jų PE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rPr>
                <w:rFonts w:eastAsia="Calibri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51,5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both"/>
              <w:rPr>
                <w:rFonts w:eastAsia="Calibri"/>
                <w:sz w:val="22"/>
              </w:rPr>
            </w:pP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Kondensacinio vandens šildymo katilo įrengimas Josvainių katilinėje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42,5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r>
              <w:rPr>
                <w:rFonts w:eastAsia="Calibri"/>
                <w:sz w:val="22"/>
              </w:rPr>
              <w:t xml:space="preserve">0,5 MW </w:t>
            </w:r>
            <w:r>
              <w:rPr>
                <w:rFonts w:eastAsia="Calibri"/>
                <w:sz w:val="22"/>
              </w:rPr>
              <w:t>našumo kondensacinis vandens šildymo katilas su degikliu ir valdymo automatika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Skysto kuro talpos įrengimas  Josvainių katilinėje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4,2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r>
              <w:rPr>
                <w:rFonts w:eastAsia="Calibri"/>
                <w:sz w:val="22"/>
              </w:rPr>
              <w:t xml:space="preserve">5 </w:t>
            </w:r>
            <w:r>
              <w:t>m</w:t>
            </w:r>
            <w:r>
              <w:rPr>
                <w:vertAlign w:val="superscript"/>
              </w:rPr>
              <w:t xml:space="preserve">3 </w:t>
            </w:r>
            <w:r>
              <w:rPr>
                <w:rFonts w:eastAsia="Calibri"/>
                <w:sz w:val="22"/>
              </w:rPr>
              <w:t>talpos dvisienė skysto kuro talpa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Šilumos tinklų nuo ŠK-116-6-4 iki Knypavos Rinkos a. 3 rekons</w:t>
            </w:r>
            <w:r>
              <w:rPr>
                <w:rFonts w:eastAsia="Calibri"/>
                <w:sz w:val="22"/>
              </w:rPr>
              <w:t>travimas Kėdainiuose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113,8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Nuo 2DN32 iki 2DN80 mm, </w:t>
            </w:r>
          </w:p>
          <w:p w:rsidR="007B7823" w:rsidRDefault="00996424">
            <w:r>
              <w:rPr>
                <w:rFonts w:eastAsia="Calibri"/>
                <w:sz w:val="22"/>
              </w:rPr>
              <w:t>L – 225 m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bookmarkStart w:id="8" w:name="_Hlk169081156"/>
            <w:r>
              <w:rPr>
                <w:rFonts w:eastAsia="Calibri"/>
                <w:sz w:val="22"/>
              </w:rPr>
              <w:t>Vandens papildymo bako įrengimas Kėdainių RK</w:t>
            </w:r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20,2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</w:rPr>
              <w:t xml:space="preserve">Horizontali 73 </w:t>
            </w:r>
            <w:r>
              <w:t>m</w:t>
            </w:r>
            <w:r>
              <w:rPr>
                <w:vertAlign w:val="superscript"/>
              </w:rPr>
              <w:t xml:space="preserve">3  </w:t>
            </w:r>
          </w:p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talpos cisterna ant betoninių pamatų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Tinklų papildymo siurblio įrengimas </w:t>
            </w:r>
            <w:r>
              <w:rPr>
                <w:rFonts w:eastAsia="Calibri"/>
                <w:sz w:val="22"/>
              </w:rPr>
              <w:t>Kėdainių 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2,4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r>
              <w:rPr>
                <w:rFonts w:eastAsia="Calibri"/>
                <w:sz w:val="22"/>
                <w:szCs w:val="22"/>
              </w:rPr>
              <w:t xml:space="preserve">6,9 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vertAlign w:val="superscript"/>
              </w:rPr>
              <w:t>3 </w:t>
            </w:r>
            <w:r>
              <w:rPr>
                <w:rFonts w:eastAsia="Calibri"/>
                <w:b/>
                <w:sz w:val="22"/>
              </w:rPr>
              <w:t>/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h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r>
              <w:rPr>
                <w:rFonts w:eastAsia="Calibri"/>
                <w:sz w:val="22"/>
              </w:rPr>
              <w:t>Dyzelino lygio matavimo prietaiso įrengimas Kėdainių 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2,9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Lygio matavimo prietaisas su indikatoriumi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Šilumos apskaitos prietaisai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0,9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4 vnt.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Šilumos ūkio </w:t>
            </w:r>
            <w:r>
              <w:rPr>
                <w:rFonts w:eastAsia="Calibri"/>
                <w:sz w:val="22"/>
              </w:rPr>
              <w:t>eksploatavimą užtikrinanti įranga ir įrankiai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PE lėšos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2023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5,1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7 vnt.</w:t>
            </w: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Iš viso Kėdainių ŠTR: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rPr>
                <w:rFonts w:eastAsia="Calibri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fldChar w:fldCharType="begin"/>
            </w:r>
            <w:r>
              <w:rPr>
                <w:rFonts w:eastAsia="Calibri"/>
                <w:b/>
                <w:sz w:val="22"/>
                <w:lang w:eastAsia="lt-LT"/>
              </w:rPr>
              <w:instrText xml:space="preserve"> =SUM(ABOVE) </w:instrText>
            </w:r>
            <w:r>
              <w:rPr>
                <w:rFonts w:eastAsia="Calibri"/>
                <w:b/>
                <w:sz w:val="22"/>
                <w:lang w:eastAsia="lt-LT"/>
              </w:rPr>
              <w:fldChar w:fldCharType="separate"/>
            </w:r>
            <w:r>
              <w:rPr>
                <w:rFonts w:eastAsia="Calibri"/>
                <w:b/>
                <w:sz w:val="22"/>
                <w:lang w:eastAsia="lt-LT"/>
              </w:rPr>
              <w:t>265,8</w:t>
            </w:r>
            <w:r>
              <w:rPr>
                <w:rFonts w:eastAsia="Calibri"/>
                <w:b/>
                <w:sz w:val="22"/>
                <w:lang w:eastAsia="lt-LT"/>
              </w:rPr>
              <w:fldChar w:fldCharType="end"/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both"/>
              <w:rPr>
                <w:rFonts w:eastAsia="Calibri"/>
                <w:b/>
                <w:sz w:val="22"/>
              </w:rPr>
            </w:pPr>
          </w:p>
        </w:tc>
      </w:tr>
      <w:tr w:rsidR="007B782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center"/>
              <w:rPr>
                <w:rFonts w:eastAsia="Calibri"/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Iš jų PE lėšos: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rPr>
                <w:rFonts w:eastAsia="Calibri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996424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243,5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823" w:rsidRDefault="007B7823">
            <w:pPr>
              <w:snapToGrid w:val="0"/>
              <w:jc w:val="both"/>
              <w:rPr>
                <w:rFonts w:eastAsia="Calibri"/>
                <w:b/>
                <w:sz w:val="22"/>
              </w:rPr>
            </w:pPr>
          </w:p>
        </w:tc>
      </w:tr>
    </w:tbl>
    <w:p w:rsidR="007B7823" w:rsidRDefault="007B7823">
      <w:pPr>
        <w:jc w:val="both"/>
      </w:pPr>
    </w:p>
    <w:p w:rsidR="007B7823" w:rsidRDefault="00996424">
      <w:pPr>
        <w:jc w:val="both"/>
      </w:pPr>
      <w:r>
        <w:t xml:space="preserve">Paaiškinimai: PE – AB „Panevėžio energija“, Dotacijos – Aplinkos projektų valdymo agentūros (toliau – </w:t>
      </w:r>
      <w:r>
        <w:t>APVA) lėšos, ŠTR – šilumos tinklų rajonas, ŠK – šilumos kamera.</w:t>
      </w:r>
    </w:p>
    <w:p w:rsidR="007B7823" w:rsidRDefault="007B7823">
      <w:pPr>
        <w:tabs>
          <w:tab w:val="left" w:pos="0"/>
        </w:tabs>
        <w:ind w:left="-360"/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7B7823">
      <w:pPr>
        <w:tabs>
          <w:tab w:val="left" w:pos="0"/>
        </w:tabs>
        <w:ind w:left="-360"/>
        <w:rPr>
          <w:sz w:val="22"/>
          <w:szCs w:val="22"/>
        </w:rPr>
      </w:pPr>
    </w:p>
    <w:p w:rsidR="007B7823" w:rsidRDefault="00996424">
      <w:pPr>
        <w:tabs>
          <w:tab w:val="left" w:pos="0"/>
        </w:tabs>
        <w:ind w:left="-360"/>
      </w:pPr>
      <w:r>
        <w:lastRenderedPageBreak/>
        <w:t>Kėdainių rajono savivaldybės tarybai</w:t>
      </w:r>
    </w:p>
    <w:p w:rsidR="007B7823" w:rsidRDefault="007B7823">
      <w:pPr>
        <w:rPr>
          <w:b/>
        </w:rPr>
      </w:pPr>
    </w:p>
    <w:p w:rsidR="007B7823" w:rsidRDefault="00996424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7B7823" w:rsidRDefault="00996424">
      <w:pPr>
        <w:ind w:firstLine="680"/>
        <w:jc w:val="center"/>
        <w:rPr>
          <w:b/>
        </w:rPr>
      </w:pPr>
      <w:r>
        <w:rPr>
          <w:b/>
        </w:rPr>
        <w:t xml:space="preserve">DĖL AB ,,PANEVĖŽIO ENERGIJA“ 2023 METŲ INVESTICIJŲ </w:t>
      </w:r>
    </w:p>
    <w:p w:rsidR="007B7823" w:rsidRDefault="00996424">
      <w:pPr>
        <w:ind w:firstLine="680"/>
        <w:jc w:val="center"/>
        <w:rPr>
          <w:b/>
        </w:rPr>
      </w:pPr>
      <w:r>
        <w:rPr>
          <w:b/>
        </w:rPr>
        <w:t>KĖDAINIŲ ŠILUMOS TINKLŲ RAJONE DERINIMO</w:t>
      </w:r>
    </w:p>
    <w:p w:rsidR="007B7823" w:rsidRDefault="007B7823">
      <w:pPr>
        <w:ind w:firstLine="680"/>
        <w:jc w:val="center"/>
        <w:rPr>
          <w:b/>
        </w:rPr>
      </w:pPr>
    </w:p>
    <w:p w:rsidR="007B7823" w:rsidRDefault="00996424">
      <w:pPr>
        <w:ind w:firstLine="680"/>
        <w:jc w:val="center"/>
      </w:pPr>
      <w:r>
        <w:t>2024 m. birželio 13 d.</w:t>
      </w:r>
    </w:p>
    <w:p w:rsidR="007B7823" w:rsidRDefault="00996424">
      <w:pPr>
        <w:ind w:firstLine="680"/>
        <w:jc w:val="center"/>
      </w:pPr>
      <w:r>
        <w:t>Kėdainiai</w:t>
      </w:r>
    </w:p>
    <w:p w:rsidR="007B7823" w:rsidRDefault="007B7823">
      <w:pPr>
        <w:ind w:firstLine="709"/>
        <w:rPr>
          <w:highlight w:val="yellow"/>
        </w:rPr>
      </w:pPr>
    </w:p>
    <w:p w:rsidR="007B7823" w:rsidRDefault="00996424">
      <w:pPr>
        <w:ind w:firstLine="709"/>
        <w:rPr>
          <w:b/>
        </w:rPr>
      </w:pPr>
      <w:r>
        <w:rPr>
          <w:b/>
        </w:rPr>
        <w:t>Parengto sprendimo projekto tikslai:</w:t>
      </w:r>
    </w:p>
    <w:p w:rsidR="007B7823" w:rsidRDefault="00996424">
      <w:pPr>
        <w:ind w:firstLine="709"/>
        <w:jc w:val="both"/>
      </w:pPr>
      <w:r>
        <w:t xml:space="preserve">Derinti AB „Panevėžio energija“ </w:t>
      </w:r>
      <w:r>
        <w:rPr>
          <w:bCs/>
        </w:rPr>
        <w:t>2023 metų investicijas Kėdainių šilumos tinklų rajone.</w:t>
      </w:r>
    </w:p>
    <w:p w:rsidR="007B7823" w:rsidRDefault="00996424">
      <w:pPr>
        <w:ind w:firstLine="709"/>
        <w:jc w:val="both"/>
      </w:pP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7B7823" w:rsidRDefault="00996424">
      <w:pPr>
        <w:ind w:firstLine="709"/>
        <w:jc w:val="both"/>
      </w:pPr>
      <w:r>
        <w:t xml:space="preserve">Tarybos sprendimo projektas parengtas vadovaujantis </w:t>
      </w:r>
      <w:r>
        <w:t>Lietuvos Respublikos vietos savivaldos įstatymo 15 straipsnio 4 dalimi, kurioje nurodyta, kad, jeigu teisės aktuose yra nustatyta papildomų įgaliojimų savivaldybei, sprendimų dėl tokių įgaliojimų vykdymo priėmimo iniciatyva, neperžengiant nustatytų įgalioj</w:t>
      </w:r>
      <w:r>
        <w:t>imų, priklauso savivaldybės tarybai, Lietuvos Respublikos šilumos ūkio įstatymo 35 straipsniu, kuris nustato, kad šilumos tiekėjų investicijos derinamos su savivaldybės institucija Energetikos įstatymo 15 straipsnyje nustatyta tvarka, Šilumos tiekėjų, nepr</w:t>
      </w:r>
      <w:r>
        <w:t>iklausomų šilumos gamintojų, geriamojo vandens tiekėjų ir nuotekų tvarkytojų, paviršinių nuotekų tvarkytojų investicijų vertinimo ir derinimo Valstybinėje energetikos reguliavimo taryboje tvarkos aprašo 32</w:t>
      </w:r>
      <w:r>
        <w:rPr>
          <w:vertAlign w:val="superscript"/>
        </w:rPr>
        <w:t>1</w:t>
      </w:r>
      <w:r>
        <w:t xml:space="preserve"> punktu, kuriame nurodyta, kad šilumos įmonių Vals</w:t>
      </w:r>
      <w:r>
        <w:t xml:space="preserve">tybinei energetikos reguliavimo tarybai teikiamos derinti investicijos ir teikiamos derinti faktinės investicijos turi būti suderintos su savivaldybių institucijomis. </w:t>
      </w:r>
    </w:p>
    <w:p w:rsidR="007B7823" w:rsidRDefault="00996424">
      <w:pPr>
        <w:ind w:firstLine="709"/>
        <w:jc w:val="both"/>
        <w:rPr>
          <w:b/>
        </w:rPr>
      </w:pPr>
      <w:r>
        <w:rPr>
          <w:b/>
        </w:rPr>
        <w:t xml:space="preserve">Lėšų poreikis (jeigu sprendimui įgyvendinti reikalingos lėšos): </w:t>
      </w:r>
    </w:p>
    <w:p w:rsidR="007B7823" w:rsidRDefault="00996424">
      <w:pPr>
        <w:ind w:firstLine="709"/>
        <w:jc w:val="both"/>
      </w:pPr>
      <w:r>
        <w:t>Nėra.</w:t>
      </w:r>
    </w:p>
    <w:p w:rsidR="007B7823" w:rsidRDefault="00996424">
      <w:pPr>
        <w:ind w:firstLine="709"/>
        <w:jc w:val="both"/>
        <w:rPr>
          <w:b/>
        </w:rPr>
      </w:pPr>
      <w:r>
        <w:rPr>
          <w:b/>
        </w:rPr>
        <w:t>Laukiami rezultat</w:t>
      </w:r>
      <w:r>
        <w:rPr>
          <w:b/>
        </w:rPr>
        <w:t>ai:</w:t>
      </w:r>
    </w:p>
    <w:p w:rsidR="007B7823" w:rsidRDefault="00996424">
      <w:pPr>
        <w:ind w:firstLine="709"/>
        <w:jc w:val="both"/>
        <w:rPr>
          <w:b/>
          <w:bCs/>
        </w:rPr>
      </w:pPr>
      <w:r>
        <w:t>Priėmus sprendimo projektą, bus įgyvendintos teisės aktų nuostatos ir AB „Panevėžio energija“ 2023 m. įgyvendintos investicijos Kėdainių šilumos tinklų rajone bus suderintos su Savivaldybės taryba.</w:t>
      </w:r>
    </w:p>
    <w:p w:rsidR="007B7823" w:rsidRDefault="00996424">
      <w:pPr>
        <w:ind w:firstLine="680"/>
      </w:pPr>
      <w:r>
        <w:t>Numatomo teisinio reguliavimo poveikio vertinimas*</w:t>
      </w:r>
    </w:p>
    <w:tbl>
      <w:tblPr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7823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b/>
                <w:sz w:val="22"/>
                <w:szCs w:val="22"/>
                <w:lang w:eastAsia="en-US" w:bidi="lo-LA"/>
              </w:rPr>
            </w:pPr>
            <w:r>
              <w:rPr>
                <w:b/>
                <w:sz w:val="22"/>
                <w:szCs w:val="22"/>
              </w:rPr>
              <w:t>Sri</w:t>
            </w:r>
            <w:r>
              <w:rPr>
                <w:b/>
                <w:sz w:val="22"/>
                <w:szCs w:val="22"/>
              </w:rPr>
              <w:t>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7B7823">
        <w:trPr>
          <w:trHeight w:val="385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rFonts w:eastAsia="Calibri"/>
                <w:b/>
                <w:bCs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>
              <w:rPr>
                <w:b/>
                <w:sz w:val="22"/>
                <w:szCs w:val="22"/>
              </w:rPr>
              <w:t>Neigiamas poveikis</w:t>
            </w:r>
          </w:p>
          <w:p w:rsidR="007B7823" w:rsidRDefault="007B7823">
            <w:pPr>
              <w:rPr>
                <w:rFonts w:eastAsia="Calibri"/>
                <w:b/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7B7823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996424">
            <w:pPr>
              <w:rPr>
                <w:i/>
                <w:sz w:val="22"/>
                <w:szCs w:val="22"/>
                <w:lang w:eastAsia="en-US" w:bidi="lo-LA"/>
              </w:rPr>
            </w:pPr>
            <w:r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823" w:rsidRDefault="007B7823">
            <w:pPr>
              <w:snapToGrid w:val="0"/>
              <w:rPr>
                <w:i/>
                <w:sz w:val="22"/>
                <w:szCs w:val="22"/>
                <w:lang w:eastAsia="en-US" w:bidi="lo-LA"/>
              </w:rPr>
            </w:pPr>
          </w:p>
        </w:tc>
      </w:tr>
    </w:tbl>
    <w:p w:rsidR="007B7823" w:rsidRDefault="00996424">
      <w:pPr>
        <w:jc w:val="both"/>
        <w:rPr>
          <w:sz w:val="18"/>
          <w:szCs w:val="18"/>
          <w:lang w:eastAsia="en-US" w:bidi="lo-LA"/>
        </w:rPr>
      </w:pPr>
      <w:r>
        <w:rPr>
          <w:b/>
          <w:sz w:val="18"/>
          <w:szCs w:val="18"/>
          <w:lang w:eastAsia="en-US" w:bidi="lo-LA"/>
        </w:rPr>
        <w:t>*</w:t>
      </w:r>
      <w:r>
        <w:rPr>
          <w:bCs/>
          <w:sz w:val="18"/>
          <w:szCs w:val="18"/>
        </w:rPr>
        <w:t xml:space="preserve"> Numatomo teisinio reguliavimo poveikio vertinimas atliekamas r</w:t>
      </w:r>
      <w:r>
        <w:rPr>
          <w:sz w:val="18"/>
          <w:szCs w:val="18"/>
        </w:rPr>
        <w:t xml:space="preserve">engiant teisės akto, kuriuo numatoma reglamentuoti iki tol nereglamentuotus santykius, taip pat </w:t>
      </w:r>
      <w:r>
        <w:rPr>
          <w:sz w:val="18"/>
          <w:szCs w:val="18"/>
        </w:rPr>
        <w:t>kuriuo iš esmės keičiamas teisinis reguliavimas, projektą.</w:t>
      </w:r>
      <w:r>
        <w:rPr>
          <w:sz w:val="18"/>
          <w:szCs w:val="18"/>
          <w:lang w:eastAsia="en-US" w:bidi="lo-LA"/>
        </w:rPr>
        <w:t xml:space="preserve"> </w:t>
      </w:r>
      <w:r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7B7823" w:rsidRDefault="007B7823">
      <w:pPr>
        <w:rPr>
          <w:sz w:val="18"/>
          <w:szCs w:val="18"/>
          <w:lang w:eastAsia="en-US" w:bidi="lo-LA"/>
        </w:rPr>
      </w:pPr>
    </w:p>
    <w:p w:rsidR="007B7823" w:rsidRDefault="007B7823">
      <w:pPr>
        <w:tabs>
          <w:tab w:val="left" w:pos="7230"/>
        </w:tabs>
        <w:ind w:right="140"/>
        <w:rPr>
          <w:sz w:val="22"/>
          <w:szCs w:val="22"/>
        </w:rPr>
      </w:pPr>
      <w:bookmarkStart w:id="9" w:name="_Hlk485041199"/>
      <w:bookmarkEnd w:id="9"/>
    </w:p>
    <w:p w:rsidR="007B7823" w:rsidRDefault="007B7823">
      <w:pPr>
        <w:tabs>
          <w:tab w:val="left" w:pos="7230"/>
        </w:tabs>
        <w:ind w:right="140"/>
        <w:rPr>
          <w:sz w:val="22"/>
          <w:szCs w:val="22"/>
        </w:rPr>
      </w:pPr>
    </w:p>
    <w:p w:rsidR="007B7823" w:rsidRDefault="007B7823">
      <w:pPr>
        <w:tabs>
          <w:tab w:val="left" w:pos="7230"/>
        </w:tabs>
        <w:ind w:right="140"/>
        <w:rPr>
          <w:sz w:val="22"/>
          <w:szCs w:val="22"/>
        </w:rPr>
      </w:pPr>
    </w:p>
    <w:p w:rsidR="007B7823" w:rsidRDefault="00996424">
      <w:pPr>
        <w:tabs>
          <w:tab w:val="left" w:pos="7230"/>
        </w:tabs>
        <w:ind w:right="140"/>
      </w:pPr>
      <w:r>
        <w:rPr>
          <w:sz w:val="22"/>
          <w:szCs w:val="22"/>
        </w:rPr>
        <w:t>Turto vald</w:t>
      </w:r>
      <w:r>
        <w:rPr>
          <w:sz w:val="22"/>
          <w:szCs w:val="22"/>
        </w:rPr>
        <w:t xml:space="preserve">ymo skyriaus vedėja </w:t>
      </w:r>
      <w:r>
        <w:rPr>
          <w:sz w:val="22"/>
          <w:szCs w:val="22"/>
        </w:rPr>
        <w:tab/>
        <w:t xml:space="preserve">   Audronė Naujalienė</w:t>
      </w:r>
    </w:p>
    <w:sectPr w:rsidR="007B7823">
      <w:pgSz w:w="11906" w:h="16838"/>
      <w:pgMar w:top="1134" w:right="851" w:bottom="1134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BA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Lucida Sans Unicode">
    <w:panose1 w:val="020B06020305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5552"/>
    <w:multiLevelType w:val="multilevel"/>
    <w:tmpl w:val="C0BC621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3"/>
    <w:rsid w:val="007B7823"/>
    <w:rsid w:val="009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F8CC"/>
  <w15:docId w15:val="{16B62607-4908-4B9D-B956-6CC4F728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SimSun;宋体" w:hAnsi="Times New Roman" w:cs="Times New Roman"/>
      <w:lang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  <w:lang w:eastAsia="zh-CN"/>
    </w:rPr>
  </w:style>
  <w:style w:type="character" w:customStyle="1" w:styleId="PagrindinistekstasDiagrama">
    <w:name w:val="Pagrindinis tekstas Diagrama"/>
    <w:qFormat/>
    <w:rPr>
      <w:b/>
      <w:sz w:val="24"/>
      <w:szCs w:val="24"/>
      <w:lang w:eastAsia="zh-CN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1290"/>
      <w:jc w:val="both"/>
    </w:pPr>
    <w:rPr>
      <w:bCs/>
    </w:rPr>
  </w:style>
  <w:style w:type="paragraph" w:styleId="Pagrindiniotekstotrauka2">
    <w:name w:val="Body Text Indent 2"/>
    <w:basedOn w:val="prastasis"/>
    <w:qFormat/>
    <w:pPr>
      <w:tabs>
        <w:tab w:val="left" w:pos="0"/>
      </w:tabs>
      <w:ind w:left="-360"/>
      <w:jc w:val="both"/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3846</Words>
  <Characters>2193</Characters>
  <Application>Microsoft Office Word</Application>
  <DocSecurity>0</DocSecurity>
  <Lines>18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617</dc:creator>
  <cp:lastModifiedBy>Steponas Navajauskas</cp:lastModifiedBy>
  <cp:revision>19</cp:revision>
  <cp:lastPrinted>2024-06-13T15:38:00Z</cp:lastPrinted>
  <dcterms:created xsi:type="dcterms:W3CDTF">2024-06-12T10:36:00Z</dcterms:created>
  <dcterms:modified xsi:type="dcterms:W3CDTF">2024-06-19T15:40:00Z</dcterms:modified>
  <dc:language>lt-LT</dc:language>
</cp:coreProperties>
</file>