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334C">
      <w:pPr>
        <w:widowControl w:val="0"/>
        <w:autoSpaceDE w:val="0"/>
        <w:autoSpaceDN w:val="0"/>
        <w:adjustRightInd w:val="0"/>
        <w:spacing w:line="276" w:lineRule="auto"/>
        <w:jc w:val="center"/>
        <w:rPr>
          <w:b/>
          <w:lang w:val="lt-LT" w:eastAsia="zh-CN"/>
        </w:rPr>
      </w:pPr>
      <w:bookmarkStart w:id="0" w:name="_GoBack"/>
      <w:bookmarkEnd w:id="0"/>
      <w:r>
        <w:rPr>
          <w:b/>
          <w:lang w:val="lt-LT" w:eastAsia="zh-CN"/>
        </w:rPr>
        <w:t>SUSITARIMAS</w:t>
      </w:r>
    </w:p>
    <w:p w14:paraId="585DBF0D">
      <w:pPr>
        <w:spacing w:line="276" w:lineRule="auto"/>
        <w:jc w:val="center"/>
        <w:rPr>
          <w:b/>
        </w:rPr>
      </w:pPr>
      <w:r>
        <w:rPr>
          <w:b/>
        </w:rPr>
        <w:t xml:space="preserve">DĖL </w:t>
      </w:r>
      <w:r>
        <w:rPr>
          <w:b/>
          <w:lang w:eastAsia="lt-LT"/>
        </w:rPr>
        <w:t>2024–2029 M. KAUNO REGIONO FUNKCINĖS ZONOS</w:t>
      </w:r>
    </w:p>
    <w:p w14:paraId="1F774AC3">
      <w:pPr>
        <w:spacing w:line="276" w:lineRule="auto"/>
        <w:jc w:val="center"/>
        <w:rPr>
          <w:b/>
        </w:rPr>
      </w:pPr>
      <w:r>
        <w:rPr>
          <w:b/>
        </w:rPr>
        <w:t>STRATEGIJOS ĮGYVENDINIMO</w:t>
      </w:r>
    </w:p>
    <w:p w14:paraId="3E7BEA0A">
      <w:pPr>
        <w:widowControl w:val="0"/>
        <w:autoSpaceDE w:val="0"/>
        <w:autoSpaceDN w:val="0"/>
        <w:adjustRightInd w:val="0"/>
        <w:spacing w:line="276" w:lineRule="auto"/>
        <w:jc w:val="center"/>
        <w:rPr>
          <w:b/>
          <w:lang w:val="lt-LT"/>
        </w:rPr>
      </w:pPr>
    </w:p>
    <w:p w14:paraId="32CE5B40">
      <w:pPr>
        <w:widowControl w:val="0"/>
        <w:autoSpaceDE w:val="0"/>
        <w:autoSpaceDN w:val="0"/>
        <w:adjustRightInd w:val="0"/>
        <w:spacing w:line="276" w:lineRule="auto"/>
        <w:jc w:val="center"/>
        <w:rPr>
          <w:bCs/>
          <w:lang w:val="lt-LT"/>
        </w:rPr>
      </w:pPr>
      <w:r>
        <w:rPr>
          <w:bCs/>
          <w:lang w:val="lt-LT"/>
        </w:rPr>
        <w:t>2024 m. birželio 13 d.</w:t>
      </w:r>
      <w:r>
        <w:rPr>
          <w:b/>
          <w:lang w:val="lt-LT"/>
        </w:rPr>
        <w:t xml:space="preserve"> </w:t>
      </w:r>
      <w:r>
        <w:rPr>
          <w:bCs/>
          <w:lang w:val="lt-LT"/>
        </w:rPr>
        <w:t>Nr. (11.18.)-IS-135 (Birštono sav.) / 2024 m. birželio 13 d. Nr. 17T-31 (Jonavos r. sav.) / 2024 m. birželio 19 d. Nr. SUT-86 (Kaišiadorių r. sav.) /  2024 m. birželio 13 d.</w:t>
      </w:r>
      <w:r>
        <w:rPr>
          <w:color w:val="000000"/>
          <w:sz w:val="22"/>
          <w:szCs w:val="22"/>
          <w:lang w:val="lt-LT"/>
        </w:rPr>
        <w:t xml:space="preserve"> </w:t>
      </w:r>
      <w:r>
        <w:rPr>
          <w:bCs/>
          <w:lang w:val="lt-LT"/>
        </w:rPr>
        <w:t>Nr. MS-178 (Kauno r. sav.) / 2024 m. birželio 13 d. Nr. AG-4870 (Kėdainių r. sav.) / 2024 m. birželio 5 d. Nr. (7.58)AR4-892 (Prienų r. sav.) / 2024 m. birželio 20 d. Nr. SR-441 (Raseinių r. sav.)</w:t>
      </w:r>
    </w:p>
    <w:p w14:paraId="318F6305">
      <w:pPr>
        <w:widowControl w:val="0"/>
        <w:autoSpaceDE w:val="0"/>
        <w:autoSpaceDN w:val="0"/>
        <w:adjustRightInd w:val="0"/>
        <w:spacing w:line="276" w:lineRule="auto"/>
        <w:jc w:val="center"/>
        <w:rPr>
          <w:bCs/>
          <w:lang w:val="lt-LT"/>
        </w:rPr>
      </w:pPr>
      <w:r>
        <w:rPr>
          <w:bCs/>
          <w:lang w:val="lt-LT"/>
        </w:rPr>
        <w:t>Prienai</w:t>
      </w:r>
    </w:p>
    <w:p w14:paraId="64D67634">
      <w:pPr>
        <w:widowControl w:val="0"/>
        <w:autoSpaceDE w:val="0"/>
        <w:autoSpaceDN w:val="0"/>
        <w:adjustRightInd w:val="0"/>
        <w:spacing w:line="276" w:lineRule="auto"/>
        <w:ind w:firstLine="851"/>
        <w:jc w:val="both"/>
        <w:rPr>
          <w:bCs/>
          <w:lang w:val="lt-LT"/>
        </w:rPr>
      </w:pPr>
    </w:p>
    <w:p w14:paraId="12819C5C">
      <w:pPr>
        <w:spacing w:line="276" w:lineRule="auto"/>
        <w:ind w:right="34" w:firstLine="851"/>
        <w:jc w:val="both"/>
        <w:rPr>
          <w:lang w:val="lt-LT"/>
        </w:rPr>
      </w:pPr>
      <w:r>
        <w:rPr>
          <w:lang w:val="lt-LT"/>
        </w:rPr>
        <w:t>Mes, Susitarimo šalys (toliau – Šalys, kiekviena atskirai vadinama Šalimi):</w:t>
      </w:r>
    </w:p>
    <w:p w14:paraId="11582561">
      <w:pPr>
        <w:widowControl w:val="0"/>
        <w:autoSpaceDE w:val="0"/>
        <w:autoSpaceDN w:val="0"/>
        <w:adjustRightInd w:val="0"/>
        <w:spacing w:line="276" w:lineRule="auto"/>
        <w:ind w:right="34" w:firstLine="851"/>
        <w:jc w:val="both"/>
        <w:rPr>
          <w:lang w:val="lt-LT"/>
        </w:rPr>
      </w:pPr>
      <w:r>
        <w:rPr>
          <w:lang w:val="lt-LT"/>
        </w:rPr>
        <w:t>Birštono savivaldybė, atstovaujama Birštono savivaldybės merės Nijolės Dirginčienės, įgaliota Birštono savivaldybės tarybos 2024 m. gegužės 30 d. sprendimu Nr.</w:t>
      </w:r>
      <w:r>
        <w:t xml:space="preserve"> (1.3.E)-TSE-085</w:t>
      </w:r>
      <w:r>
        <w:rPr>
          <w:lang w:val="lt-LT"/>
        </w:rPr>
        <w:t xml:space="preserve"> „Dėl 2024–2029 m. Kauno regiono funkcinės zonos strategijos patvirtinimo“,</w:t>
      </w:r>
    </w:p>
    <w:p w14:paraId="7D9EB74D">
      <w:pPr>
        <w:widowControl w:val="0"/>
        <w:autoSpaceDE w:val="0"/>
        <w:autoSpaceDN w:val="0"/>
        <w:adjustRightInd w:val="0"/>
        <w:spacing w:line="276" w:lineRule="auto"/>
        <w:ind w:right="34" w:firstLine="851"/>
        <w:jc w:val="both"/>
        <w:rPr>
          <w:lang w:val="lt-LT"/>
        </w:rPr>
      </w:pPr>
      <w:r>
        <w:rPr>
          <w:lang w:val="lt-LT"/>
        </w:rPr>
        <w:t xml:space="preserve">Jonavos rajono savivaldybė, atstovaujama Jonavos rajono savivaldybės mero </w:t>
      </w:r>
      <w:r>
        <w:rPr>
          <w:rStyle w:val="18"/>
          <w:b w:val="0"/>
          <w:bCs w:val="0"/>
          <w:shd w:val="clear" w:color="auto" w:fill="FFFFFF"/>
          <w:lang w:val="lt-LT"/>
        </w:rPr>
        <w:t>Mindaugo Sinkevičiaus</w:t>
      </w:r>
      <w:r>
        <w:rPr>
          <w:lang w:val="lt-LT"/>
        </w:rPr>
        <w:t xml:space="preserve">, įgalioto Jonavos rajono savivaldybės tarybos 2024 m. gegužės 30 d. sprendimu Nr. </w:t>
      </w:r>
      <w:r>
        <w:t>1TS-113</w:t>
      </w:r>
      <w:r>
        <w:rPr>
          <w:lang w:val="lt-LT"/>
        </w:rPr>
        <w:t xml:space="preserve"> „Dėl 2024–2029 m. Kauno regiono funkcinės zonos strategijos patvirtinimo“,</w:t>
      </w:r>
    </w:p>
    <w:p w14:paraId="4CEB0699">
      <w:pPr>
        <w:widowControl w:val="0"/>
        <w:autoSpaceDE w:val="0"/>
        <w:autoSpaceDN w:val="0"/>
        <w:adjustRightInd w:val="0"/>
        <w:spacing w:line="276" w:lineRule="auto"/>
        <w:ind w:right="34" w:firstLine="851"/>
        <w:jc w:val="both"/>
        <w:rPr>
          <w:lang w:val="lt-LT"/>
        </w:rPr>
      </w:pPr>
      <w:r>
        <w:rPr>
          <w:lang w:val="lt-LT"/>
        </w:rPr>
        <w:t xml:space="preserve">Kaišiadorių rajono savivaldybė, atstovaujama Kaišiadorių rajono savivaldybės mero </w:t>
      </w:r>
      <w:r>
        <w:rPr>
          <w:rStyle w:val="18"/>
          <w:b w:val="0"/>
          <w:bCs w:val="0"/>
          <w:shd w:val="clear" w:color="auto" w:fill="FFFFFF"/>
          <w:lang w:val="lt-LT"/>
        </w:rPr>
        <w:t>Šarūno Čėsnos</w:t>
      </w:r>
      <w:r>
        <w:rPr>
          <w:lang w:val="lt-LT"/>
        </w:rPr>
        <w:t xml:space="preserve">, įgalioto Kaišiadorių rajono savivaldybės tarybos 2024 m. gegužės 30 d. sprendimu Nr. </w:t>
      </w:r>
      <w:r>
        <w:t xml:space="preserve">V17E-161 </w:t>
      </w:r>
      <w:r>
        <w:rPr>
          <w:lang w:val="lt-LT"/>
        </w:rPr>
        <w:t xml:space="preserve"> „Dėl 2024–2029 m. Kauno regiono funkcinės zonos strategijos patvirtinimo“,</w:t>
      </w:r>
    </w:p>
    <w:p w14:paraId="6F68FEB6">
      <w:pPr>
        <w:widowControl w:val="0"/>
        <w:autoSpaceDE w:val="0"/>
        <w:autoSpaceDN w:val="0"/>
        <w:adjustRightInd w:val="0"/>
        <w:spacing w:line="276" w:lineRule="auto"/>
        <w:ind w:right="34" w:firstLine="851"/>
        <w:jc w:val="both"/>
        <w:rPr>
          <w:lang w:val="lt-LT"/>
        </w:rPr>
      </w:pPr>
      <w:r>
        <w:rPr>
          <w:lang w:val="lt-LT"/>
        </w:rPr>
        <w:t xml:space="preserve">Kauno rajono savivaldybė, atstovaujama Kauno rajono savivaldybės mero </w:t>
      </w:r>
      <w:r>
        <w:rPr>
          <w:rStyle w:val="18"/>
          <w:b w:val="0"/>
          <w:bCs w:val="0"/>
          <w:shd w:val="clear" w:color="auto" w:fill="FFFFFF"/>
          <w:lang w:val="lt-LT"/>
        </w:rPr>
        <w:t>Valerijaus Makūno</w:t>
      </w:r>
      <w:r>
        <w:rPr>
          <w:lang w:val="lt-LT"/>
        </w:rPr>
        <w:t xml:space="preserve">, įgalioto Kauno rajono savivaldybės tarybos 2024 m. gegužės 30 d. sprendimu Nr. </w:t>
      </w:r>
      <w:r>
        <w:t>TS-249</w:t>
      </w:r>
      <w:r>
        <w:rPr>
          <w:lang w:val="lt-LT"/>
        </w:rPr>
        <w:t xml:space="preserve"> „Dėl 2024–2029 m. Kauno regiono funkcinės zonos strategijos patvirtinimo“,</w:t>
      </w:r>
    </w:p>
    <w:p w14:paraId="2A0071DF">
      <w:pPr>
        <w:widowControl w:val="0"/>
        <w:autoSpaceDE w:val="0"/>
        <w:autoSpaceDN w:val="0"/>
        <w:adjustRightInd w:val="0"/>
        <w:spacing w:line="276" w:lineRule="auto"/>
        <w:ind w:right="34" w:firstLine="851"/>
        <w:jc w:val="both"/>
        <w:rPr>
          <w:lang w:val="lt-LT"/>
        </w:rPr>
      </w:pPr>
      <w:r>
        <w:rPr>
          <w:lang w:val="lt-LT"/>
        </w:rPr>
        <w:t xml:space="preserve">Kėdainių rajono savivaldybė, atstovaujama Kėdainių rajono savivaldybės mero </w:t>
      </w:r>
      <w:r>
        <w:rPr>
          <w:rStyle w:val="18"/>
          <w:b w:val="0"/>
          <w:bCs w:val="0"/>
          <w:shd w:val="clear" w:color="auto" w:fill="FFFFFF"/>
          <w:lang w:val="lt-LT"/>
        </w:rPr>
        <w:t>Valentino Tamulio</w:t>
      </w:r>
      <w:r>
        <w:rPr>
          <w:lang w:val="lt-LT"/>
        </w:rPr>
        <w:t xml:space="preserve">, įgalioto Kėdainių rajono savivaldybės tarybos 2024 m. gegužės 31 d. sprendimu Nr. </w:t>
      </w:r>
      <w:r>
        <w:t>TS-129</w:t>
      </w:r>
      <w:r>
        <w:rPr>
          <w:lang w:val="lt-LT"/>
        </w:rPr>
        <w:t xml:space="preserve"> „Dėl 2024–2029 m. Kauno regiono funkcinės zonos strategijos patvirtinimo“,</w:t>
      </w:r>
    </w:p>
    <w:p w14:paraId="6E1D4543">
      <w:pPr>
        <w:widowControl w:val="0"/>
        <w:autoSpaceDE w:val="0"/>
        <w:autoSpaceDN w:val="0"/>
        <w:adjustRightInd w:val="0"/>
        <w:spacing w:line="276" w:lineRule="auto"/>
        <w:ind w:right="34" w:firstLine="851"/>
        <w:jc w:val="both"/>
        <w:rPr>
          <w:lang w:val="lt-LT"/>
        </w:rPr>
      </w:pPr>
      <w:r>
        <w:rPr>
          <w:lang w:val="lt-LT"/>
        </w:rPr>
        <w:t xml:space="preserve">Prienų rajono savivaldybė, atstovaujama Prienų rajono savivaldybės mero </w:t>
      </w:r>
      <w:r>
        <w:rPr>
          <w:rStyle w:val="18"/>
          <w:b w:val="0"/>
          <w:bCs w:val="0"/>
          <w:shd w:val="clear" w:color="auto" w:fill="FFFFFF"/>
          <w:lang w:val="lt-LT"/>
        </w:rPr>
        <w:t>Alvydo Vaicekausko</w:t>
      </w:r>
      <w:r>
        <w:rPr>
          <w:lang w:val="lt-LT"/>
        </w:rPr>
        <w:t xml:space="preserve">, įgalioto Prienų rajono savivaldybės tarybos 2024 m. gegužės 30 d. sprendimu Nr. </w:t>
      </w:r>
      <w:r>
        <w:t>T3-155</w:t>
      </w:r>
      <w:r>
        <w:rPr>
          <w:lang w:val="lt-LT"/>
        </w:rPr>
        <w:t xml:space="preserve"> „Dėl 2024–2029 m. Kauno regiono funkcinės zonos strategijos patvirtinimo“, ir</w:t>
      </w:r>
    </w:p>
    <w:p w14:paraId="73F6FF97">
      <w:pPr>
        <w:widowControl w:val="0"/>
        <w:autoSpaceDE w:val="0"/>
        <w:autoSpaceDN w:val="0"/>
        <w:adjustRightInd w:val="0"/>
        <w:spacing w:line="276" w:lineRule="auto"/>
        <w:ind w:right="34" w:firstLine="851"/>
        <w:jc w:val="both"/>
        <w:rPr>
          <w:lang w:val="lt-LT"/>
        </w:rPr>
      </w:pPr>
      <w:r>
        <w:rPr>
          <w:lang w:val="lt-LT"/>
        </w:rPr>
        <w:t xml:space="preserve">Raseinių rajono savivaldybė, atstovaujama Raseinių rajono savivaldybės mero </w:t>
      </w:r>
      <w:r>
        <w:rPr>
          <w:rStyle w:val="18"/>
          <w:b w:val="0"/>
          <w:bCs w:val="0"/>
          <w:shd w:val="clear" w:color="auto" w:fill="FFFFFF"/>
          <w:lang w:val="lt-LT"/>
        </w:rPr>
        <w:t>Arvydo Nekrošiaus</w:t>
      </w:r>
      <w:r>
        <w:rPr>
          <w:lang w:val="lt-LT"/>
        </w:rPr>
        <w:t xml:space="preserve">, įgalioto Raseinių rajono savivaldybės tarybos 2024 m. gegužės 30 d. sprendimu Nr. </w:t>
      </w:r>
      <w:r>
        <w:t>TS-157</w:t>
      </w:r>
      <w:r>
        <w:rPr>
          <w:lang w:val="lt-LT"/>
        </w:rPr>
        <w:t xml:space="preserve"> „Dėl 2024–2029 m. Kauno regiono funkcinės zonos strategijos patvirtinimo“,</w:t>
      </w:r>
    </w:p>
    <w:p w14:paraId="65B8458E">
      <w:pPr>
        <w:suppressAutoHyphens/>
        <w:spacing w:line="276" w:lineRule="auto"/>
        <w:ind w:firstLine="851"/>
        <w:jc w:val="both"/>
        <w:rPr>
          <w:rFonts w:eastAsia="Calibri"/>
          <w:lang w:val="lt-LT"/>
        </w:rPr>
      </w:pPr>
      <w:r>
        <w:rPr>
          <w:rFonts w:eastAsia="Calibri"/>
          <w:lang w:val="lt-LT"/>
        </w:rPr>
        <w:t xml:space="preserve">siekdamos didinti </w:t>
      </w:r>
      <w:r>
        <w:rPr>
          <w:bCs/>
          <w:lang w:val="lt-LT" w:eastAsia="lt-LT"/>
        </w:rPr>
        <w:t>Kauno regiono funkcinės zonos</w:t>
      </w:r>
      <w:r>
        <w:rPr>
          <w:rFonts w:eastAsia="Calibri"/>
          <w:lang w:val="lt-LT"/>
        </w:rPr>
        <w:t xml:space="preserve"> infrastruktūros ir viešųjų paslaugų tinklo efektyvumą, užtikrinti, kad šia infrastruktūra ir viešosiomis paslaugomis galėtų naudotis visi gyventojai, ir sudaryti sąlygas bendriems savivaldybių veiksmams ir jungtiniams investiciniams projektams įgyvendinti,</w:t>
      </w:r>
    </w:p>
    <w:p w14:paraId="6951429B">
      <w:pPr>
        <w:shd w:val="clear" w:color="auto" w:fill="FFFFFF"/>
        <w:spacing w:line="276" w:lineRule="auto"/>
        <w:ind w:right="34" w:firstLine="851"/>
        <w:jc w:val="both"/>
        <w:rPr>
          <w:lang w:val="lt-LT"/>
        </w:rPr>
      </w:pPr>
      <w:r>
        <w:rPr>
          <w:bCs/>
          <w:lang w:val="lt-LT"/>
        </w:rPr>
        <w:t>vadovaudamosi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51 punktu,</w:t>
      </w:r>
    </w:p>
    <w:p w14:paraId="6D753555">
      <w:pPr>
        <w:shd w:val="clear" w:color="auto" w:fill="FFFFFF"/>
        <w:spacing w:line="276" w:lineRule="auto"/>
        <w:ind w:right="34" w:firstLine="851"/>
        <w:jc w:val="both"/>
        <w:rPr>
          <w:lang w:val="lt-LT"/>
        </w:rPr>
      </w:pPr>
      <w:r>
        <w:rPr>
          <w:lang w:val="lt-LT"/>
        </w:rPr>
        <w:t>gera valia bei vadovaudamosi teisingumo, protingumo ir sąžiningumo principais, susitarėme ir sudarėme šį Susitarimą.</w:t>
      </w:r>
    </w:p>
    <w:p w14:paraId="448BF5D7">
      <w:pPr>
        <w:shd w:val="clear" w:color="auto" w:fill="FFFFFF"/>
        <w:spacing w:line="276" w:lineRule="auto"/>
        <w:ind w:right="34" w:firstLine="851"/>
        <w:jc w:val="both"/>
        <w:rPr>
          <w:lang w:val="lt-LT"/>
        </w:rPr>
      </w:pPr>
    </w:p>
    <w:p w14:paraId="48630B9A">
      <w:pPr>
        <w:widowControl w:val="0"/>
        <w:tabs>
          <w:tab w:val="left" w:pos="1680"/>
        </w:tabs>
        <w:autoSpaceDE w:val="0"/>
        <w:autoSpaceDN w:val="0"/>
        <w:adjustRightInd w:val="0"/>
        <w:spacing w:line="276" w:lineRule="auto"/>
        <w:jc w:val="center"/>
        <w:rPr>
          <w:b/>
          <w:lang w:val="lt-LT"/>
        </w:rPr>
      </w:pPr>
      <w:r>
        <w:rPr>
          <w:b/>
          <w:lang w:val="lt-LT"/>
        </w:rPr>
        <w:t>I. SUSITARIMO OBJEKTAS</w:t>
      </w:r>
    </w:p>
    <w:p w14:paraId="1AC0EC43">
      <w:pPr>
        <w:widowControl w:val="0"/>
        <w:autoSpaceDE w:val="0"/>
        <w:autoSpaceDN w:val="0"/>
        <w:adjustRightInd w:val="0"/>
        <w:spacing w:line="276" w:lineRule="auto"/>
        <w:ind w:right="34" w:firstLine="851"/>
        <w:jc w:val="both"/>
        <w:rPr>
          <w:b/>
          <w:lang w:val="lt-LT"/>
        </w:rPr>
      </w:pPr>
    </w:p>
    <w:p w14:paraId="76348D98">
      <w:pPr>
        <w:widowControl w:val="0"/>
        <w:autoSpaceDE w:val="0"/>
        <w:autoSpaceDN w:val="0"/>
        <w:adjustRightInd w:val="0"/>
        <w:spacing w:line="276" w:lineRule="auto"/>
        <w:ind w:right="34" w:firstLine="851"/>
        <w:jc w:val="both"/>
        <w:rPr>
          <w:bCs/>
          <w:lang w:val="lt-LT"/>
        </w:rPr>
      </w:pPr>
      <w:r>
        <w:rPr>
          <w:lang w:val="lt-LT"/>
        </w:rPr>
        <w:t xml:space="preserve">1. Šio susitarimo objektas yra Šalių bendra veikla ir bendri įsipareigojimai bei prisiimtų įsipareigojimų vykdymas tinkamai ir laiku įgyvendinti </w:t>
      </w:r>
      <w:r>
        <w:rPr>
          <w:bCs/>
          <w:lang w:val="lt-LT" w:eastAsia="lt-LT"/>
        </w:rPr>
        <w:t xml:space="preserve">2024–2029 m. Kauno regiono funkcinės zonos </w:t>
      </w:r>
      <w:r>
        <w:rPr>
          <w:bCs/>
          <w:lang w:val="lt-LT"/>
        </w:rPr>
        <w:t>strategiją (toliau – Strategija).</w:t>
      </w:r>
    </w:p>
    <w:p w14:paraId="5928F674">
      <w:pPr>
        <w:widowControl w:val="0"/>
        <w:autoSpaceDE w:val="0"/>
        <w:autoSpaceDN w:val="0"/>
        <w:adjustRightInd w:val="0"/>
        <w:spacing w:line="276" w:lineRule="auto"/>
        <w:ind w:right="34" w:firstLine="851"/>
        <w:jc w:val="both"/>
        <w:rPr>
          <w:i/>
          <w:lang w:val="lt-LT"/>
        </w:rPr>
      </w:pPr>
    </w:p>
    <w:p w14:paraId="1383B242">
      <w:pPr>
        <w:widowControl w:val="0"/>
        <w:autoSpaceDE w:val="0"/>
        <w:autoSpaceDN w:val="0"/>
        <w:adjustRightInd w:val="0"/>
        <w:spacing w:line="276" w:lineRule="auto"/>
        <w:jc w:val="center"/>
        <w:rPr>
          <w:b/>
          <w:lang w:val="lt-LT"/>
        </w:rPr>
      </w:pPr>
      <w:r>
        <w:rPr>
          <w:b/>
          <w:lang w:val="lt-LT"/>
        </w:rPr>
        <w:t>II. ŠALIŲ TEISĖS IR ĮSIPAREIGOJIMAI</w:t>
      </w:r>
    </w:p>
    <w:p w14:paraId="3E5A59F4">
      <w:pPr>
        <w:widowControl w:val="0"/>
        <w:autoSpaceDE w:val="0"/>
        <w:autoSpaceDN w:val="0"/>
        <w:adjustRightInd w:val="0"/>
        <w:spacing w:line="276" w:lineRule="auto"/>
        <w:ind w:right="34" w:firstLine="851"/>
        <w:jc w:val="both"/>
        <w:rPr>
          <w:b/>
          <w:lang w:val="lt-LT"/>
        </w:rPr>
      </w:pPr>
    </w:p>
    <w:p w14:paraId="2B39C686">
      <w:pPr>
        <w:widowControl w:val="0"/>
        <w:autoSpaceDE w:val="0"/>
        <w:autoSpaceDN w:val="0"/>
        <w:adjustRightInd w:val="0"/>
        <w:spacing w:line="276" w:lineRule="auto"/>
        <w:ind w:right="34" w:firstLine="851"/>
        <w:jc w:val="both"/>
        <w:rPr>
          <w:lang w:val="lt-LT"/>
        </w:rPr>
      </w:pPr>
      <w:r>
        <w:rPr>
          <w:lang w:val="lt-LT"/>
        </w:rPr>
        <w:t>2. Šalys įsipareigoja:</w:t>
      </w:r>
    </w:p>
    <w:p w14:paraId="6281D732">
      <w:pPr>
        <w:widowControl w:val="0"/>
        <w:autoSpaceDE w:val="0"/>
        <w:autoSpaceDN w:val="0"/>
        <w:adjustRightInd w:val="0"/>
        <w:spacing w:line="276" w:lineRule="auto"/>
        <w:ind w:right="34" w:firstLine="851"/>
        <w:jc w:val="both"/>
        <w:rPr>
          <w:rFonts w:eastAsia="Calibri"/>
          <w:lang w:val="lt-LT"/>
        </w:rPr>
      </w:pPr>
      <w:r>
        <w:rPr>
          <w:lang w:val="lt-LT"/>
        </w:rPr>
        <w:t xml:space="preserve">2.1. </w:t>
      </w:r>
      <w:r>
        <w:rPr>
          <w:rFonts w:eastAsia="Calibri"/>
          <w:lang w:val="lt-LT"/>
        </w:rPr>
        <w:t>bendrai naudodamos savo turtą, kooperuodamos darbą, žinias ir organizacinius išteklius, veikti bendrai siekdamos Strategijoje nustatyto tikslo bei uždavinių įgyvendinimo;</w:t>
      </w:r>
    </w:p>
    <w:p w14:paraId="2A29952C">
      <w:pPr>
        <w:widowControl w:val="0"/>
        <w:autoSpaceDE w:val="0"/>
        <w:autoSpaceDN w:val="0"/>
        <w:adjustRightInd w:val="0"/>
        <w:spacing w:line="276" w:lineRule="auto"/>
        <w:ind w:right="34" w:firstLine="851"/>
        <w:jc w:val="both"/>
        <w:rPr>
          <w:rFonts w:eastAsia="Calibri"/>
          <w:lang w:val="lt-LT"/>
        </w:rPr>
      </w:pPr>
      <w:r>
        <w:rPr>
          <w:rFonts w:eastAsia="Calibri"/>
          <w:lang w:val="lt-LT"/>
        </w:rPr>
        <w:t>2.2. užtikrinti bendrąjį finansavimą, reikalingą prisidėjimui prie Strategijos veiksmų įgyvendinimo;</w:t>
      </w:r>
    </w:p>
    <w:p w14:paraId="184C8411">
      <w:pPr>
        <w:widowControl w:val="0"/>
        <w:autoSpaceDE w:val="0"/>
        <w:autoSpaceDN w:val="0"/>
        <w:adjustRightInd w:val="0"/>
        <w:spacing w:line="276" w:lineRule="auto"/>
        <w:ind w:right="34" w:firstLine="851"/>
        <w:jc w:val="both"/>
        <w:rPr>
          <w:rFonts w:eastAsia="Calibri"/>
          <w:lang w:val="lt-LT"/>
        </w:rPr>
      </w:pPr>
      <w:r>
        <w:rPr>
          <w:rFonts w:eastAsia="Calibri"/>
          <w:lang w:val="lt-LT"/>
        </w:rPr>
        <w:t xml:space="preserve">2.3. </w:t>
      </w:r>
      <w:r>
        <w:rPr>
          <w:lang w:val="lt-LT"/>
        </w:rPr>
        <w:t>laiku ir tinkamai atsakyti į Šalių ir Kauno regiono plėtros tarybos administracijos, Lietuvos Respublikos vidaus reikalų ministerijos (toliau – Vidaus reikalų ministerija) klausimus ir prašymus, kurie būtini tinkamai vykdyti Susitarimą bei įgyvendinti Strategiją.</w:t>
      </w:r>
    </w:p>
    <w:p w14:paraId="4A7333CD">
      <w:pPr>
        <w:widowControl w:val="0"/>
        <w:autoSpaceDE w:val="0"/>
        <w:autoSpaceDN w:val="0"/>
        <w:adjustRightInd w:val="0"/>
        <w:spacing w:line="276" w:lineRule="auto"/>
        <w:ind w:right="34" w:firstLine="851"/>
        <w:jc w:val="both"/>
        <w:rPr>
          <w:rFonts w:eastAsia="Calibri"/>
          <w:lang w:val="lt-LT"/>
        </w:rPr>
      </w:pPr>
      <w:r>
        <w:rPr>
          <w:rFonts w:eastAsia="Calibri"/>
          <w:lang w:val="lt-LT"/>
        </w:rPr>
        <w:t>3. Šalys, Kauno regiono plėtros tarybos administracijos pritarimu, paskiria Kauno regiono plėtros tarybos administraciją atsakinga institucija už:</w:t>
      </w:r>
    </w:p>
    <w:p w14:paraId="40971F15">
      <w:pPr>
        <w:widowControl w:val="0"/>
        <w:autoSpaceDE w:val="0"/>
        <w:autoSpaceDN w:val="0"/>
        <w:adjustRightInd w:val="0"/>
        <w:spacing w:line="276" w:lineRule="auto"/>
        <w:ind w:right="34" w:firstLine="851"/>
        <w:jc w:val="both"/>
        <w:rPr>
          <w:rFonts w:eastAsia="Calibri"/>
          <w:lang w:val="lt-LT"/>
        </w:rPr>
      </w:pPr>
      <w:r>
        <w:rPr>
          <w:rFonts w:eastAsia="Calibri"/>
          <w:lang w:val="lt-LT"/>
        </w:rPr>
        <w:t>3.1. Strategijos stebėseną ir siekiant šio tikslo paveda bendradarbiauti su Šalimis: t. y. vadovaujantis Aprašo nuostatomis dalintis, keistis ir aptarti Vidaus reikalų ministerijos renkamą ir vertinamą informaciją bei informaciją dėl Strategijos įgyvendinimo trūkumų ir rizikų šalinimo;</w:t>
      </w:r>
    </w:p>
    <w:p w14:paraId="009039C8">
      <w:pPr>
        <w:widowControl w:val="0"/>
        <w:autoSpaceDE w:val="0"/>
        <w:autoSpaceDN w:val="0"/>
        <w:adjustRightInd w:val="0"/>
        <w:spacing w:line="276" w:lineRule="auto"/>
        <w:ind w:right="34" w:firstLine="851"/>
        <w:jc w:val="both"/>
        <w:rPr>
          <w:rFonts w:eastAsia="Calibri"/>
          <w:lang w:val="lt-LT"/>
        </w:rPr>
      </w:pPr>
      <w:r>
        <w:rPr>
          <w:rFonts w:eastAsia="Calibri"/>
          <w:lang w:val="lt-LT"/>
        </w:rPr>
        <w:t>3.2.</w:t>
      </w:r>
      <w:r>
        <w:rPr>
          <w:lang w:val="lt-LT"/>
        </w:rPr>
        <w:t xml:space="preserve"> Strategijos </w:t>
      </w:r>
      <w:r>
        <w:rPr>
          <w:rFonts w:eastAsia="Calibri"/>
          <w:lang w:val="lt-LT"/>
        </w:rPr>
        <w:t>ir Susitarimo</w:t>
      </w:r>
      <w:r>
        <w:rPr>
          <w:lang w:val="lt-LT"/>
        </w:rPr>
        <w:t xml:space="preserve"> pakeitimo (-ų) projekto (-ų)</w:t>
      </w:r>
      <w:r>
        <w:rPr>
          <w:rFonts w:eastAsia="Calibri"/>
          <w:lang w:val="lt-LT"/>
        </w:rPr>
        <w:t xml:space="preserve"> rengimą;</w:t>
      </w:r>
    </w:p>
    <w:p w14:paraId="38055645">
      <w:pPr>
        <w:widowControl w:val="0"/>
        <w:autoSpaceDE w:val="0"/>
        <w:autoSpaceDN w:val="0"/>
        <w:adjustRightInd w:val="0"/>
        <w:spacing w:line="276" w:lineRule="auto"/>
        <w:ind w:right="34" w:firstLine="851"/>
        <w:jc w:val="both"/>
        <w:rPr>
          <w:rFonts w:eastAsia="Calibri"/>
          <w:lang w:val="lt-LT"/>
        </w:rPr>
      </w:pPr>
      <w:r>
        <w:rPr>
          <w:rFonts w:eastAsia="Calibri"/>
          <w:lang w:val="lt-LT"/>
        </w:rPr>
        <w:t>3.3. Strategijos esminio pakeitimo (-ų) projekto (-ų) pateikimą derinti Vidaus reikalų ministerijai, vadovaujantis Aprašo nuostatomis;</w:t>
      </w:r>
    </w:p>
    <w:p w14:paraId="3FCB59C7">
      <w:pPr>
        <w:suppressAutoHyphens/>
        <w:spacing w:line="276" w:lineRule="auto"/>
        <w:ind w:firstLine="851"/>
        <w:jc w:val="both"/>
        <w:rPr>
          <w:rFonts w:eastAsia="Calibri"/>
          <w:lang w:val="lt-LT"/>
        </w:rPr>
      </w:pPr>
      <w:r>
        <w:rPr>
          <w:rFonts w:eastAsia="Calibri"/>
          <w:lang w:val="lt-LT"/>
        </w:rPr>
        <w:t>3.4. informacijos pateikimą apie Strategijos ir jos pakeitimo (-ų) patvirtinimą Vidaus reikalų ministerijai, vadovaujantis Aprašo nuostatomis;</w:t>
      </w:r>
    </w:p>
    <w:p w14:paraId="773FFBE2">
      <w:pPr>
        <w:suppressAutoHyphens/>
        <w:spacing w:line="276" w:lineRule="auto"/>
        <w:ind w:firstLine="851"/>
        <w:jc w:val="both"/>
        <w:rPr>
          <w:rFonts w:eastAsia="Calibri"/>
          <w:lang w:val="lt-LT"/>
        </w:rPr>
      </w:pPr>
      <w:r>
        <w:rPr>
          <w:rFonts w:eastAsia="Calibri"/>
          <w:lang w:val="lt-LT"/>
        </w:rPr>
        <w:t>3.5. savo rengtų su Strategijos rengimu, pakeitimu ir įgyvendinimo stebėsena susijusių dokumentų, taip pat viešojo administravimo subjektų, ir (ar), ekonominių ir socialinių partnerių ir (ar) organizacijų, atstovaujančių pilietinei visuomenei, įskaitant aplinkos apsaugos tikslų siekiančias organizacijas, nevyriausybinių organizacijų ir subjektų, atsakingų už socialinės įtraukties, pagrindinių teisių, neįgaliųjų teisių, lyčių lygybės ir nediskriminavimo skatinimą įtraukimą patvirtinančių dokumentų saugojimą ir tvarkymą bei jų prieinamumą Vidaus reikalų ministerijos, Šalių, VšĮ Centrinės projektų valdymo agentūros, 2021–2027 metų Europos Sąjungos fondų investicijų programos vadovaujančiosios institucijos, audito institucijos, Europos Komisijos ir Europos Audito Rūmų atstovams ir (ar) jų įgaliotiems asmenims, vadovaujantis Aprašo nuostatomis;</w:t>
      </w:r>
    </w:p>
    <w:p w14:paraId="6CAF1013">
      <w:pPr>
        <w:pStyle w:val="32"/>
        <w:shd w:val="clear" w:color="auto" w:fill="FFFFFF"/>
        <w:spacing w:before="0" w:beforeAutospacing="0" w:after="0" w:afterAutospacing="0" w:line="276" w:lineRule="auto"/>
        <w:ind w:firstLine="851"/>
        <w:jc w:val="both"/>
        <w:textAlignment w:val="baseline"/>
      </w:pPr>
      <w:r>
        <w:rPr>
          <w:rFonts w:eastAsia="Calibri"/>
        </w:rPr>
        <w:t xml:space="preserve">3.6. </w:t>
      </w:r>
      <w:r>
        <w:t>Strategijoje nustatytiems neinvesticiniams veiksmams įgyvendinti sudarytos (-ų) darbo grupės (-ių)  sekretoriato funkcijų vykdymą.</w:t>
      </w:r>
    </w:p>
    <w:p w14:paraId="1308963A">
      <w:pPr>
        <w:widowControl w:val="0"/>
        <w:autoSpaceDE w:val="0"/>
        <w:autoSpaceDN w:val="0"/>
        <w:adjustRightInd w:val="0"/>
        <w:spacing w:line="276" w:lineRule="auto"/>
        <w:ind w:right="34" w:firstLine="851"/>
        <w:jc w:val="both"/>
        <w:rPr>
          <w:b/>
          <w:lang w:val="lt-LT"/>
        </w:rPr>
      </w:pPr>
    </w:p>
    <w:p w14:paraId="4B77E325">
      <w:pPr>
        <w:widowControl w:val="0"/>
        <w:autoSpaceDE w:val="0"/>
        <w:autoSpaceDN w:val="0"/>
        <w:adjustRightInd w:val="0"/>
        <w:spacing w:line="276" w:lineRule="auto"/>
        <w:jc w:val="center"/>
        <w:rPr>
          <w:b/>
          <w:lang w:val="lt-LT"/>
        </w:rPr>
      </w:pPr>
      <w:r>
        <w:rPr>
          <w:b/>
          <w:lang w:val="lt-LT"/>
        </w:rPr>
        <w:t>III. ŠALIŲ PATVIRTINIMAI, GARANTIJOS IR ATSAKOMYBĖ</w:t>
      </w:r>
    </w:p>
    <w:p w14:paraId="5151E57F">
      <w:pPr>
        <w:widowControl w:val="0"/>
        <w:autoSpaceDE w:val="0"/>
        <w:autoSpaceDN w:val="0"/>
        <w:adjustRightInd w:val="0"/>
        <w:spacing w:line="276" w:lineRule="auto"/>
        <w:ind w:right="34" w:firstLine="851"/>
        <w:jc w:val="both"/>
        <w:rPr>
          <w:b/>
          <w:lang w:val="lt-LT"/>
        </w:rPr>
      </w:pPr>
    </w:p>
    <w:p w14:paraId="4DDE17EC">
      <w:pPr>
        <w:widowControl w:val="0"/>
        <w:autoSpaceDE w:val="0"/>
        <w:autoSpaceDN w:val="0"/>
        <w:adjustRightInd w:val="0"/>
        <w:spacing w:line="276" w:lineRule="auto"/>
        <w:ind w:right="34" w:firstLine="851"/>
        <w:jc w:val="both"/>
        <w:rPr>
          <w:lang w:val="lt-LT"/>
        </w:rPr>
      </w:pPr>
      <w:r>
        <w:rPr>
          <w:lang w:val="lt-LT"/>
        </w:rPr>
        <w:t>4. Kiekviena Šalis pareiškia, kad:</w:t>
      </w:r>
    </w:p>
    <w:p w14:paraId="5C4889F5">
      <w:pPr>
        <w:widowControl w:val="0"/>
        <w:autoSpaceDE w:val="0"/>
        <w:autoSpaceDN w:val="0"/>
        <w:adjustRightInd w:val="0"/>
        <w:spacing w:line="276" w:lineRule="auto"/>
        <w:ind w:right="34" w:firstLine="851"/>
        <w:jc w:val="both"/>
        <w:rPr>
          <w:lang w:val="lt-LT"/>
        </w:rPr>
      </w:pPr>
      <w:r>
        <w:rPr>
          <w:lang w:val="lt-LT"/>
        </w:rPr>
        <w:t>4.1. Susitarimas neprieštarauja  jos tikslams;</w:t>
      </w:r>
    </w:p>
    <w:p w14:paraId="65E151F2">
      <w:pPr>
        <w:widowControl w:val="0"/>
        <w:autoSpaceDE w:val="0"/>
        <w:autoSpaceDN w:val="0"/>
        <w:adjustRightInd w:val="0"/>
        <w:spacing w:line="276" w:lineRule="auto"/>
        <w:ind w:right="34" w:firstLine="851"/>
        <w:jc w:val="both"/>
        <w:rPr>
          <w:lang w:val="lt-LT"/>
        </w:rPr>
      </w:pPr>
      <w:r>
        <w:rPr>
          <w:lang w:val="lt-LT"/>
        </w:rPr>
        <w:t>4.2. jai yra aiškiai žinomi visi faktai, susiję su Susitarimo sudarymu ir / ar nulėmę Susitarimo sudarymą būtent tokiomis sąlygomis, kurios yra išdėstytos Susitarime;</w:t>
      </w:r>
    </w:p>
    <w:p w14:paraId="101197DE">
      <w:pPr>
        <w:widowControl w:val="0"/>
        <w:autoSpaceDE w:val="0"/>
        <w:autoSpaceDN w:val="0"/>
        <w:adjustRightInd w:val="0"/>
        <w:spacing w:line="276" w:lineRule="auto"/>
        <w:ind w:right="34" w:firstLine="851"/>
        <w:jc w:val="both"/>
        <w:rPr>
          <w:lang w:val="lt-LT"/>
        </w:rPr>
      </w:pPr>
      <w:r>
        <w:rPr>
          <w:lang w:val="lt-LT"/>
        </w:rPr>
        <w:t>4.3. yra susitarta dėl visų sąlygų, kurios buvo būtinos tam, kad Susitarimas kiekvienos iš Šalių būtų laikomas sudarytu;</w:t>
      </w:r>
    </w:p>
    <w:p w14:paraId="0DFBE928">
      <w:pPr>
        <w:widowControl w:val="0"/>
        <w:autoSpaceDE w:val="0"/>
        <w:autoSpaceDN w:val="0"/>
        <w:adjustRightInd w:val="0"/>
        <w:spacing w:line="276" w:lineRule="auto"/>
        <w:ind w:right="34" w:firstLine="851"/>
        <w:jc w:val="both"/>
        <w:rPr>
          <w:lang w:val="lt-LT"/>
        </w:rPr>
      </w:pPr>
      <w:r>
        <w:rPr>
          <w:lang w:val="lt-LT"/>
        </w:rPr>
        <w:t>4.4. neturi jokių papildomų reikalavimų, susijusių su Susitarimo įforminimu;</w:t>
      </w:r>
    </w:p>
    <w:p w14:paraId="142C5E47">
      <w:pPr>
        <w:widowControl w:val="0"/>
        <w:autoSpaceDE w:val="0"/>
        <w:autoSpaceDN w:val="0"/>
        <w:adjustRightInd w:val="0"/>
        <w:spacing w:line="276" w:lineRule="auto"/>
        <w:ind w:right="34" w:firstLine="851"/>
        <w:jc w:val="both"/>
        <w:rPr>
          <w:lang w:val="lt-LT"/>
        </w:rPr>
      </w:pPr>
      <w:r>
        <w:rPr>
          <w:lang w:val="lt-LT"/>
        </w:rPr>
        <w:t>4.5. veikia apdairiai ir yra tinkamai, išsamiai bei pakankamai informuota dėl šio Susitarimo turinio bei jos esmės.</w:t>
      </w:r>
    </w:p>
    <w:p w14:paraId="05298CDC">
      <w:pPr>
        <w:widowControl w:val="0"/>
        <w:autoSpaceDE w:val="0"/>
        <w:autoSpaceDN w:val="0"/>
        <w:adjustRightInd w:val="0"/>
        <w:spacing w:line="276" w:lineRule="auto"/>
        <w:ind w:right="34" w:firstLine="851"/>
        <w:jc w:val="both"/>
        <w:rPr>
          <w:lang w:val="lt-LT"/>
        </w:rPr>
      </w:pPr>
      <w:r>
        <w:rPr>
          <w:lang w:val="lt-LT"/>
        </w:rPr>
        <w:t>5. Už Susitarimo vykdymą, tinkamą Susitarimo įgyvendinimą kiekviena Šalis atsako pagal Susitarime prisiimtus įsipareigojimus.</w:t>
      </w:r>
    </w:p>
    <w:p w14:paraId="6D94E24E">
      <w:pPr>
        <w:widowControl w:val="0"/>
        <w:autoSpaceDE w:val="0"/>
        <w:autoSpaceDN w:val="0"/>
        <w:adjustRightInd w:val="0"/>
        <w:spacing w:line="276" w:lineRule="auto"/>
        <w:ind w:right="34" w:firstLine="851"/>
        <w:jc w:val="both"/>
        <w:rPr>
          <w:i/>
          <w:lang w:val="lt-LT"/>
        </w:rPr>
      </w:pPr>
      <w:r>
        <w:rPr>
          <w:lang w:val="lt-LT"/>
        </w:rPr>
        <w:t xml:space="preserve">6. Jei viena iš sutarties Šalių visiškai ar iš dalies negali įvykdyti savo įsipareigojimų dėl aplinkybių, kurių priežastis yra nenugalima jėga </w:t>
      </w:r>
      <w:r>
        <w:rPr>
          <w:i/>
          <w:lang w:val="lt-LT"/>
        </w:rPr>
        <w:t>(Force majoure),</w:t>
      </w:r>
      <w:r>
        <w:rPr>
          <w:lang w:val="lt-LT"/>
        </w:rPr>
        <w:t xml:space="preserve"> tai sutartinių įsipareigojimų vykdymas atidedamas.</w:t>
      </w:r>
    </w:p>
    <w:p w14:paraId="03BAC021">
      <w:pPr>
        <w:widowControl w:val="0"/>
        <w:autoSpaceDE w:val="0"/>
        <w:autoSpaceDN w:val="0"/>
        <w:adjustRightInd w:val="0"/>
        <w:spacing w:line="276" w:lineRule="auto"/>
        <w:ind w:right="34" w:firstLine="851"/>
        <w:jc w:val="both"/>
        <w:rPr>
          <w:lang w:val="lt-LT"/>
        </w:rPr>
      </w:pPr>
    </w:p>
    <w:p w14:paraId="2E6953C8">
      <w:pPr>
        <w:widowControl w:val="0"/>
        <w:autoSpaceDE w:val="0"/>
        <w:autoSpaceDN w:val="0"/>
        <w:adjustRightInd w:val="0"/>
        <w:spacing w:line="276" w:lineRule="auto"/>
        <w:jc w:val="center"/>
        <w:rPr>
          <w:b/>
          <w:lang w:val="lt-LT"/>
        </w:rPr>
      </w:pPr>
      <w:r>
        <w:rPr>
          <w:b/>
          <w:lang w:val="lt-LT"/>
        </w:rPr>
        <w:t>IV. BAIGIAMOSIOS NUOSTATOS</w:t>
      </w:r>
    </w:p>
    <w:p w14:paraId="19BFF66D">
      <w:pPr>
        <w:widowControl w:val="0"/>
        <w:autoSpaceDE w:val="0"/>
        <w:autoSpaceDN w:val="0"/>
        <w:adjustRightInd w:val="0"/>
        <w:spacing w:line="276" w:lineRule="auto"/>
        <w:ind w:right="34" w:firstLine="851"/>
        <w:jc w:val="both"/>
        <w:rPr>
          <w:b/>
          <w:i/>
          <w:lang w:val="lt-LT"/>
        </w:rPr>
      </w:pPr>
    </w:p>
    <w:p w14:paraId="745D741C">
      <w:pPr>
        <w:widowControl w:val="0"/>
        <w:autoSpaceDE w:val="0"/>
        <w:autoSpaceDN w:val="0"/>
        <w:adjustRightInd w:val="0"/>
        <w:spacing w:line="276" w:lineRule="auto"/>
        <w:ind w:right="34" w:firstLine="851"/>
        <w:jc w:val="both"/>
        <w:rPr>
          <w:lang w:val="lt-LT"/>
        </w:rPr>
      </w:pPr>
      <w:r>
        <w:rPr>
          <w:lang w:val="lt-LT"/>
        </w:rPr>
        <w:t xml:space="preserve">7. </w:t>
      </w:r>
      <w:r>
        <w:rPr>
          <w:bCs/>
          <w:lang w:val="lt-LT"/>
        </w:rPr>
        <w:t>Susitarimas sudaromas septyniais egzemplioriais, turinčiais vienodą juridinę galią, – po vieną kiekvienai Šaliai arba vienu elektroniniu dokumentu, pasirašytu kvalifikuotu elektroniniu parašu</w:t>
      </w:r>
      <w:r>
        <w:rPr>
          <w:lang w:val="lt-LT"/>
        </w:rPr>
        <w:t>.</w:t>
      </w:r>
    </w:p>
    <w:p w14:paraId="403C3F12">
      <w:pPr>
        <w:spacing w:line="276" w:lineRule="auto"/>
        <w:ind w:firstLine="851"/>
        <w:jc w:val="both"/>
        <w:rPr>
          <w:bCs/>
          <w:lang w:val="lt-LT"/>
        </w:rPr>
      </w:pPr>
      <w:r>
        <w:rPr>
          <w:bCs/>
          <w:lang w:val="lt-LT"/>
        </w:rPr>
        <w:t>8.</w:t>
      </w:r>
      <w:r>
        <w:rPr>
          <w:bCs/>
          <w:lang w:val="lt-LT"/>
        </w:rPr>
        <w:tab/>
      </w:r>
      <w:r>
        <w:rPr>
          <w:bCs/>
          <w:lang w:val="lt-LT"/>
        </w:rPr>
        <w:t>Susitarimas ir jo pakeitimai įsigalioja nuo paskutinės Šalies pasirašymo dienos ir galioja iki įsipareigojimų dėl Strategijos įgyvendinimo pabaigos.</w:t>
      </w:r>
    </w:p>
    <w:p w14:paraId="624C7AC4">
      <w:pPr>
        <w:widowControl w:val="0"/>
        <w:autoSpaceDE w:val="0"/>
        <w:autoSpaceDN w:val="0"/>
        <w:adjustRightInd w:val="0"/>
        <w:spacing w:line="276" w:lineRule="auto"/>
        <w:ind w:right="34" w:firstLine="851"/>
        <w:jc w:val="both"/>
        <w:rPr>
          <w:lang w:val="lt-LT"/>
        </w:rPr>
      </w:pPr>
      <w:r>
        <w:rPr>
          <w:lang w:val="lt-LT"/>
        </w:rPr>
        <w:t xml:space="preserve">9. Susitarimas keičiamas pagal poreikį rašytiniu visų Šalių įgaliotų merų pasirašytu susitarimu, prieš tai priėmus atitinkamus savivaldybių tarybų sprendimus. </w:t>
      </w:r>
    </w:p>
    <w:p w14:paraId="2B0E9A41">
      <w:pPr>
        <w:widowControl w:val="0"/>
        <w:autoSpaceDE w:val="0"/>
        <w:autoSpaceDN w:val="0"/>
        <w:adjustRightInd w:val="0"/>
        <w:spacing w:line="276" w:lineRule="auto"/>
        <w:ind w:right="34" w:firstLine="851"/>
        <w:jc w:val="both"/>
        <w:rPr>
          <w:lang w:val="lt-LT"/>
        </w:rPr>
      </w:pPr>
      <w:r>
        <w:rPr>
          <w:lang w:val="lt-LT"/>
        </w:rPr>
        <w:t>10. Kiekvienas Susitarimo 9 punkte nurodytas Susitarimo pakeitimas nuo jo tinkamo įforminimo dienos tampa neatskiriama Susitarimo dalimi.</w:t>
      </w:r>
    </w:p>
    <w:p w14:paraId="6A407C6A">
      <w:pPr>
        <w:widowControl w:val="0"/>
        <w:autoSpaceDE w:val="0"/>
        <w:autoSpaceDN w:val="0"/>
        <w:adjustRightInd w:val="0"/>
        <w:spacing w:line="276" w:lineRule="auto"/>
        <w:ind w:right="34" w:firstLine="851"/>
        <w:jc w:val="both"/>
        <w:rPr>
          <w:lang w:val="lt-LT"/>
        </w:rPr>
      </w:pPr>
      <w:r>
        <w:rPr>
          <w:lang w:val="lt-LT"/>
        </w:rPr>
        <w:t>11. Atsakomybė ir ginčų sprendimo įsipareigojimai išlieka galioti po Susitarimo nutraukimo ar Susitarimo termino pasibaigimo.</w:t>
      </w:r>
    </w:p>
    <w:p w14:paraId="46F1CF51">
      <w:pPr>
        <w:widowControl w:val="0"/>
        <w:autoSpaceDE w:val="0"/>
        <w:autoSpaceDN w:val="0"/>
        <w:adjustRightInd w:val="0"/>
        <w:spacing w:line="276" w:lineRule="auto"/>
        <w:ind w:right="34" w:firstLine="851"/>
        <w:jc w:val="both"/>
        <w:rPr>
          <w:lang w:val="lt-LT"/>
        </w:rPr>
      </w:pPr>
      <w:r>
        <w:rPr>
          <w:lang w:val="lt-LT"/>
        </w:rPr>
        <w:t>12. Ginčai ar kiti nesutarimai arba reikalavimai, kylantys iš Susitarimo ar susiję su Susitarimu, sprendžiami derybomis.</w:t>
      </w:r>
    </w:p>
    <w:p w14:paraId="45AB23FA">
      <w:pPr>
        <w:widowControl w:val="0"/>
        <w:autoSpaceDE w:val="0"/>
        <w:autoSpaceDN w:val="0"/>
        <w:adjustRightInd w:val="0"/>
        <w:spacing w:line="276" w:lineRule="auto"/>
        <w:ind w:right="34" w:firstLine="851"/>
        <w:jc w:val="both"/>
        <w:rPr>
          <w:lang w:val="lt-LT"/>
        </w:rPr>
      </w:pPr>
      <w:r>
        <w:rPr>
          <w:lang w:val="lt-LT"/>
        </w:rPr>
        <w:t>13. Nepavykus ginčo (ar kito nesutarimo) išspręsti derybomis, ginčas sprendžiamas Lietuvos Respublikos įstatymų nustatyta tvarka.</w:t>
      </w:r>
    </w:p>
    <w:p w14:paraId="4B62EBAD">
      <w:pPr>
        <w:widowControl w:val="0"/>
        <w:autoSpaceDE w:val="0"/>
        <w:autoSpaceDN w:val="0"/>
        <w:adjustRightInd w:val="0"/>
        <w:spacing w:line="276" w:lineRule="auto"/>
        <w:ind w:right="34" w:firstLine="851"/>
        <w:jc w:val="both"/>
        <w:rPr>
          <w:lang w:val="lt-LT"/>
        </w:rPr>
      </w:pPr>
    </w:p>
    <w:p w14:paraId="7ACAE58D">
      <w:pPr>
        <w:tabs>
          <w:tab w:val="left" w:pos="851"/>
        </w:tabs>
        <w:jc w:val="center"/>
        <w:rPr>
          <w:b/>
          <w:bCs/>
          <w:lang w:val="lt-LT"/>
        </w:rPr>
      </w:pPr>
      <w:r>
        <w:rPr>
          <w:b/>
          <w:bCs/>
          <w:lang w:val="lt-LT"/>
        </w:rPr>
        <w:t>V. ŠALIŲ PARAŠAI</w:t>
      </w:r>
    </w:p>
    <w:p w14:paraId="4BE4E90F">
      <w:pPr>
        <w:tabs>
          <w:tab w:val="left" w:pos="851"/>
        </w:tabs>
        <w:jc w:val="center"/>
        <w:rPr>
          <w:rFonts w:eastAsia="Calibri"/>
          <w:i/>
          <w:iCs/>
        </w:rPr>
      </w:pPr>
    </w:p>
    <w:p w14:paraId="54D55798">
      <w:pPr>
        <w:jc w:val="center"/>
        <w:rPr>
          <w:b/>
        </w:rPr>
      </w:pPr>
    </w:p>
    <w:tbl>
      <w:tblPr>
        <w:tblStyle w:val="5"/>
        <w:tblW w:w="10172" w:type="dxa"/>
        <w:tblInd w:w="0" w:type="dxa"/>
        <w:tblLayout w:type="autofit"/>
        <w:tblCellMar>
          <w:top w:w="0" w:type="dxa"/>
          <w:left w:w="108" w:type="dxa"/>
          <w:bottom w:w="0" w:type="dxa"/>
          <w:right w:w="108" w:type="dxa"/>
        </w:tblCellMar>
      </w:tblPr>
      <w:tblGrid>
        <w:gridCol w:w="2835"/>
        <w:gridCol w:w="3085"/>
        <w:gridCol w:w="2693"/>
        <w:gridCol w:w="1559"/>
      </w:tblGrid>
      <w:tr w14:paraId="5C90D842">
        <w:tblPrEx>
          <w:tblCellMar>
            <w:top w:w="0" w:type="dxa"/>
            <w:left w:w="108" w:type="dxa"/>
            <w:bottom w:w="0" w:type="dxa"/>
            <w:right w:w="108" w:type="dxa"/>
          </w:tblCellMar>
        </w:tblPrEx>
        <w:tc>
          <w:tcPr>
            <w:tcW w:w="2835" w:type="dxa"/>
            <w:shd w:val="clear" w:color="auto" w:fill="auto"/>
            <w:vAlign w:val="center"/>
          </w:tcPr>
          <w:p w14:paraId="3FF67A79">
            <w:pPr>
              <w:tabs>
                <w:tab w:val="left" w:pos="851"/>
              </w:tabs>
              <w:rPr>
                <w:lang w:val="lt-LT"/>
              </w:rPr>
            </w:pPr>
            <w:r>
              <w:rPr>
                <w:lang w:val="lt-LT"/>
              </w:rPr>
              <w:t>Birštono savivaldybės merė</w:t>
            </w:r>
          </w:p>
          <w:p w14:paraId="186EFF01">
            <w:pPr>
              <w:tabs>
                <w:tab w:val="left" w:pos="851"/>
              </w:tabs>
              <w:rPr>
                <w:lang w:val="lt-LT"/>
              </w:rPr>
            </w:pPr>
          </w:p>
        </w:tc>
        <w:tc>
          <w:tcPr>
            <w:tcW w:w="3085" w:type="dxa"/>
            <w:shd w:val="clear" w:color="auto" w:fill="auto"/>
            <w:vAlign w:val="center"/>
          </w:tcPr>
          <w:p w14:paraId="75399051">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3C627427">
            <w:pPr>
              <w:tabs>
                <w:tab w:val="left" w:pos="851"/>
              </w:tabs>
              <w:jc w:val="center"/>
              <w:rPr>
                <w:rStyle w:val="18"/>
                <w:b w:val="0"/>
                <w:bCs w:val="0"/>
                <w:shd w:val="clear" w:color="auto" w:fill="FFFFFF"/>
              </w:rPr>
            </w:pPr>
            <w:r>
              <w:rPr>
                <w:lang w:val="lt-LT"/>
              </w:rPr>
              <w:t>Nijolė Dirginčienė</w:t>
            </w:r>
          </w:p>
        </w:tc>
        <w:tc>
          <w:tcPr>
            <w:tcW w:w="1559" w:type="dxa"/>
            <w:shd w:val="clear" w:color="auto" w:fill="auto"/>
            <w:vAlign w:val="center"/>
          </w:tcPr>
          <w:p w14:paraId="280ED868">
            <w:pPr>
              <w:tabs>
                <w:tab w:val="left" w:pos="851"/>
              </w:tabs>
              <w:jc w:val="center"/>
              <w:rPr>
                <w:shd w:val="clear" w:color="auto" w:fill="FFFFFF"/>
              </w:rPr>
            </w:pPr>
            <w:r>
              <w:rPr>
                <w:rFonts w:eastAsia="Calibri"/>
                <w:i/>
                <w:spacing w:val="2"/>
              </w:rPr>
              <w:t>(data)</w:t>
            </w:r>
          </w:p>
        </w:tc>
      </w:tr>
      <w:tr w14:paraId="46075876">
        <w:tblPrEx>
          <w:tblCellMar>
            <w:top w:w="0" w:type="dxa"/>
            <w:left w:w="108" w:type="dxa"/>
            <w:bottom w:w="0" w:type="dxa"/>
            <w:right w:w="108" w:type="dxa"/>
          </w:tblCellMar>
        </w:tblPrEx>
        <w:tc>
          <w:tcPr>
            <w:tcW w:w="2835" w:type="dxa"/>
            <w:shd w:val="clear" w:color="auto" w:fill="auto"/>
            <w:vAlign w:val="center"/>
          </w:tcPr>
          <w:p w14:paraId="178E4859">
            <w:pPr>
              <w:tabs>
                <w:tab w:val="left" w:pos="851"/>
              </w:tabs>
              <w:rPr>
                <w:shd w:val="clear" w:color="auto" w:fill="FFFFFF"/>
              </w:rPr>
            </w:pPr>
            <w:r>
              <w:rPr>
                <w:lang w:val="lt-LT"/>
              </w:rPr>
              <w:t>Jonavos rajono</w:t>
            </w:r>
            <w:r>
              <w:rPr>
                <w:rFonts w:eastAsia="Calibri"/>
                <w:spacing w:val="2"/>
              </w:rPr>
              <w:t xml:space="preserve"> savivaldybės meras</w:t>
            </w:r>
          </w:p>
        </w:tc>
        <w:tc>
          <w:tcPr>
            <w:tcW w:w="3085" w:type="dxa"/>
            <w:shd w:val="clear" w:color="auto" w:fill="auto"/>
            <w:vAlign w:val="center"/>
          </w:tcPr>
          <w:p w14:paraId="487A47E9">
            <w:pPr>
              <w:tabs>
                <w:tab w:val="left" w:pos="851"/>
              </w:tabs>
              <w:jc w:val="center"/>
              <w:rPr>
                <w:shd w:val="clear" w:color="auto" w:fill="FFFFFF"/>
              </w:rPr>
            </w:pPr>
          </w:p>
        </w:tc>
        <w:tc>
          <w:tcPr>
            <w:tcW w:w="2693" w:type="dxa"/>
            <w:shd w:val="clear" w:color="auto" w:fill="auto"/>
            <w:vAlign w:val="center"/>
          </w:tcPr>
          <w:p w14:paraId="16259DB9">
            <w:pPr>
              <w:tabs>
                <w:tab w:val="left" w:pos="851"/>
              </w:tabs>
              <w:jc w:val="center"/>
              <w:rPr>
                <w:shd w:val="clear" w:color="auto" w:fill="FFFFFF"/>
              </w:rPr>
            </w:pPr>
            <w:r>
              <w:rPr>
                <w:rStyle w:val="18"/>
                <w:b w:val="0"/>
                <w:bCs w:val="0"/>
                <w:shd w:val="clear" w:color="auto" w:fill="FFFFFF"/>
              </w:rPr>
              <w:t>Mindaugas Sinkevičius</w:t>
            </w:r>
          </w:p>
        </w:tc>
        <w:tc>
          <w:tcPr>
            <w:tcW w:w="1559" w:type="dxa"/>
            <w:shd w:val="clear" w:color="auto" w:fill="auto"/>
            <w:vAlign w:val="center"/>
          </w:tcPr>
          <w:p w14:paraId="3C208126">
            <w:pPr>
              <w:tabs>
                <w:tab w:val="left" w:pos="851"/>
              </w:tabs>
              <w:jc w:val="center"/>
              <w:rPr>
                <w:shd w:val="clear" w:color="auto" w:fill="FFFFFF"/>
              </w:rPr>
            </w:pPr>
          </w:p>
        </w:tc>
      </w:tr>
      <w:tr w14:paraId="11EE8DF8">
        <w:tblPrEx>
          <w:tblCellMar>
            <w:top w:w="0" w:type="dxa"/>
            <w:left w:w="108" w:type="dxa"/>
            <w:bottom w:w="0" w:type="dxa"/>
            <w:right w:w="108" w:type="dxa"/>
          </w:tblCellMar>
        </w:tblPrEx>
        <w:tc>
          <w:tcPr>
            <w:tcW w:w="2835" w:type="dxa"/>
            <w:shd w:val="clear" w:color="auto" w:fill="auto"/>
            <w:vAlign w:val="center"/>
          </w:tcPr>
          <w:p w14:paraId="22D96F8D">
            <w:pPr>
              <w:tabs>
                <w:tab w:val="left" w:pos="851"/>
              </w:tabs>
              <w:rPr>
                <w:shd w:val="clear" w:color="auto" w:fill="FFFFFF"/>
              </w:rPr>
            </w:pPr>
          </w:p>
        </w:tc>
        <w:tc>
          <w:tcPr>
            <w:tcW w:w="3085" w:type="dxa"/>
            <w:shd w:val="clear" w:color="auto" w:fill="auto"/>
            <w:vAlign w:val="center"/>
          </w:tcPr>
          <w:p w14:paraId="0A992F0C">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31AE8307">
            <w:pPr>
              <w:tabs>
                <w:tab w:val="left" w:pos="851"/>
              </w:tabs>
              <w:rPr>
                <w:shd w:val="clear" w:color="auto" w:fill="FFFFFF"/>
              </w:rPr>
            </w:pPr>
          </w:p>
        </w:tc>
        <w:tc>
          <w:tcPr>
            <w:tcW w:w="1559" w:type="dxa"/>
            <w:shd w:val="clear" w:color="auto" w:fill="auto"/>
            <w:vAlign w:val="center"/>
          </w:tcPr>
          <w:p w14:paraId="0EE568B5">
            <w:pPr>
              <w:tabs>
                <w:tab w:val="left" w:pos="851"/>
              </w:tabs>
              <w:jc w:val="center"/>
              <w:rPr>
                <w:rFonts w:eastAsia="Calibri"/>
                <w:i/>
                <w:spacing w:val="2"/>
              </w:rPr>
            </w:pPr>
            <w:r>
              <w:rPr>
                <w:rFonts w:eastAsia="Calibri"/>
                <w:i/>
                <w:spacing w:val="2"/>
              </w:rPr>
              <w:t>(data)</w:t>
            </w:r>
          </w:p>
        </w:tc>
      </w:tr>
      <w:tr w14:paraId="1FA6BC30">
        <w:tblPrEx>
          <w:tblCellMar>
            <w:top w:w="0" w:type="dxa"/>
            <w:left w:w="108" w:type="dxa"/>
            <w:bottom w:w="0" w:type="dxa"/>
            <w:right w:w="108" w:type="dxa"/>
          </w:tblCellMar>
        </w:tblPrEx>
        <w:tc>
          <w:tcPr>
            <w:tcW w:w="2835" w:type="dxa"/>
            <w:shd w:val="clear" w:color="auto" w:fill="auto"/>
            <w:vAlign w:val="center"/>
          </w:tcPr>
          <w:p w14:paraId="07C92F00">
            <w:pPr>
              <w:tabs>
                <w:tab w:val="left" w:pos="851"/>
              </w:tabs>
              <w:rPr>
                <w:shd w:val="clear" w:color="auto" w:fill="FFFFFF"/>
              </w:rPr>
            </w:pPr>
          </w:p>
        </w:tc>
        <w:tc>
          <w:tcPr>
            <w:tcW w:w="3085" w:type="dxa"/>
            <w:shd w:val="clear" w:color="auto" w:fill="auto"/>
            <w:vAlign w:val="center"/>
          </w:tcPr>
          <w:p w14:paraId="4C1CC68D">
            <w:pPr>
              <w:tabs>
                <w:tab w:val="left" w:pos="851"/>
              </w:tabs>
              <w:jc w:val="center"/>
              <w:rPr>
                <w:shd w:val="clear" w:color="auto" w:fill="FFFFFF"/>
              </w:rPr>
            </w:pPr>
          </w:p>
        </w:tc>
        <w:tc>
          <w:tcPr>
            <w:tcW w:w="2693" w:type="dxa"/>
            <w:shd w:val="clear" w:color="auto" w:fill="auto"/>
            <w:vAlign w:val="center"/>
          </w:tcPr>
          <w:p w14:paraId="06F9E7DE">
            <w:pPr>
              <w:tabs>
                <w:tab w:val="left" w:pos="851"/>
              </w:tabs>
              <w:jc w:val="center"/>
              <w:rPr>
                <w:shd w:val="clear" w:color="auto" w:fill="FFFFFF"/>
              </w:rPr>
            </w:pPr>
          </w:p>
        </w:tc>
        <w:tc>
          <w:tcPr>
            <w:tcW w:w="1559" w:type="dxa"/>
            <w:shd w:val="clear" w:color="auto" w:fill="auto"/>
            <w:vAlign w:val="center"/>
          </w:tcPr>
          <w:p w14:paraId="3C40DE8E">
            <w:pPr>
              <w:tabs>
                <w:tab w:val="left" w:pos="851"/>
              </w:tabs>
              <w:jc w:val="center"/>
              <w:rPr>
                <w:shd w:val="clear" w:color="auto" w:fill="FFFFFF"/>
              </w:rPr>
            </w:pPr>
          </w:p>
        </w:tc>
      </w:tr>
      <w:tr w14:paraId="72616CF2">
        <w:tblPrEx>
          <w:tblCellMar>
            <w:top w:w="0" w:type="dxa"/>
            <w:left w:w="108" w:type="dxa"/>
            <w:bottom w:w="0" w:type="dxa"/>
            <w:right w:w="108" w:type="dxa"/>
          </w:tblCellMar>
        </w:tblPrEx>
        <w:tc>
          <w:tcPr>
            <w:tcW w:w="2835" w:type="dxa"/>
            <w:shd w:val="clear" w:color="auto" w:fill="auto"/>
            <w:vAlign w:val="center"/>
          </w:tcPr>
          <w:p w14:paraId="5A8E45AB">
            <w:pPr>
              <w:tabs>
                <w:tab w:val="left" w:pos="851"/>
              </w:tabs>
              <w:rPr>
                <w:shd w:val="clear" w:color="auto" w:fill="FFFFFF"/>
              </w:rPr>
            </w:pPr>
            <w:r>
              <w:rPr>
                <w:lang w:val="lt-LT"/>
              </w:rPr>
              <w:t xml:space="preserve">Kaišiadorių rajono </w:t>
            </w:r>
            <w:r>
              <w:rPr>
                <w:rFonts w:eastAsia="Calibri"/>
              </w:rPr>
              <w:t>savivaldybės meras</w:t>
            </w:r>
          </w:p>
        </w:tc>
        <w:tc>
          <w:tcPr>
            <w:tcW w:w="3085" w:type="dxa"/>
            <w:shd w:val="clear" w:color="auto" w:fill="auto"/>
            <w:vAlign w:val="center"/>
          </w:tcPr>
          <w:p w14:paraId="1F138EDC">
            <w:pPr>
              <w:tabs>
                <w:tab w:val="left" w:pos="851"/>
              </w:tabs>
              <w:jc w:val="center"/>
              <w:rPr>
                <w:shd w:val="clear" w:color="auto" w:fill="FFFFFF"/>
              </w:rPr>
            </w:pPr>
          </w:p>
        </w:tc>
        <w:tc>
          <w:tcPr>
            <w:tcW w:w="2693" w:type="dxa"/>
            <w:shd w:val="clear" w:color="auto" w:fill="auto"/>
            <w:vAlign w:val="center"/>
          </w:tcPr>
          <w:p w14:paraId="4C5C4A50">
            <w:pPr>
              <w:tabs>
                <w:tab w:val="left" w:pos="851"/>
              </w:tabs>
              <w:jc w:val="center"/>
              <w:rPr>
                <w:shd w:val="clear" w:color="auto" w:fill="FFFFFF"/>
              </w:rPr>
            </w:pPr>
            <w:r>
              <w:rPr>
                <w:rStyle w:val="18"/>
                <w:b w:val="0"/>
                <w:bCs w:val="0"/>
                <w:shd w:val="clear" w:color="auto" w:fill="FFFFFF"/>
              </w:rPr>
              <w:t>Šarūnas Čėsna</w:t>
            </w:r>
          </w:p>
        </w:tc>
        <w:tc>
          <w:tcPr>
            <w:tcW w:w="1559" w:type="dxa"/>
            <w:shd w:val="clear" w:color="auto" w:fill="auto"/>
            <w:vAlign w:val="center"/>
          </w:tcPr>
          <w:p w14:paraId="0B9BC857">
            <w:pPr>
              <w:tabs>
                <w:tab w:val="left" w:pos="851"/>
              </w:tabs>
              <w:jc w:val="center"/>
              <w:rPr>
                <w:shd w:val="clear" w:color="auto" w:fill="FFFFFF"/>
              </w:rPr>
            </w:pPr>
          </w:p>
        </w:tc>
      </w:tr>
      <w:tr w14:paraId="0645B6D4">
        <w:tblPrEx>
          <w:tblCellMar>
            <w:top w:w="0" w:type="dxa"/>
            <w:left w:w="108" w:type="dxa"/>
            <w:bottom w:w="0" w:type="dxa"/>
            <w:right w:w="108" w:type="dxa"/>
          </w:tblCellMar>
        </w:tblPrEx>
        <w:tc>
          <w:tcPr>
            <w:tcW w:w="2835" w:type="dxa"/>
            <w:shd w:val="clear" w:color="auto" w:fill="auto"/>
            <w:vAlign w:val="center"/>
          </w:tcPr>
          <w:p w14:paraId="1E9D7AB9">
            <w:pPr>
              <w:tabs>
                <w:tab w:val="left" w:pos="851"/>
              </w:tabs>
              <w:rPr>
                <w:shd w:val="clear" w:color="auto" w:fill="FFFFFF"/>
              </w:rPr>
            </w:pPr>
          </w:p>
        </w:tc>
        <w:tc>
          <w:tcPr>
            <w:tcW w:w="3085" w:type="dxa"/>
            <w:shd w:val="clear" w:color="auto" w:fill="auto"/>
            <w:vAlign w:val="center"/>
          </w:tcPr>
          <w:p w14:paraId="1A79D9F6">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4FAB622C">
            <w:pPr>
              <w:tabs>
                <w:tab w:val="left" w:pos="851"/>
              </w:tabs>
              <w:jc w:val="center"/>
              <w:rPr>
                <w:shd w:val="clear" w:color="auto" w:fill="FFFFFF"/>
              </w:rPr>
            </w:pPr>
          </w:p>
        </w:tc>
        <w:tc>
          <w:tcPr>
            <w:tcW w:w="1559" w:type="dxa"/>
            <w:shd w:val="clear" w:color="auto" w:fill="auto"/>
            <w:vAlign w:val="center"/>
          </w:tcPr>
          <w:p w14:paraId="7CE20779">
            <w:pPr>
              <w:tabs>
                <w:tab w:val="left" w:pos="851"/>
              </w:tabs>
              <w:jc w:val="center"/>
              <w:rPr>
                <w:shd w:val="clear" w:color="auto" w:fill="FFFFFF"/>
              </w:rPr>
            </w:pPr>
            <w:r>
              <w:rPr>
                <w:rFonts w:eastAsia="Calibri"/>
                <w:i/>
                <w:spacing w:val="2"/>
              </w:rPr>
              <w:t>(data)</w:t>
            </w:r>
          </w:p>
        </w:tc>
      </w:tr>
      <w:tr w14:paraId="6D6D16E4">
        <w:tblPrEx>
          <w:tblCellMar>
            <w:top w:w="0" w:type="dxa"/>
            <w:left w:w="108" w:type="dxa"/>
            <w:bottom w:w="0" w:type="dxa"/>
            <w:right w:w="108" w:type="dxa"/>
          </w:tblCellMar>
        </w:tblPrEx>
        <w:tc>
          <w:tcPr>
            <w:tcW w:w="2835" w:type="dxa"/>
            <w:shd w:val="clear" w:color="auto" w:fill="auto"/>
            <w:vAlign w:val="center"/>
          </w:tcPr>
          <w:p w14:paraId="3B839EE2">
            <w:pPr>
              <w:tabs>
                <w:tab w:val="left" w:pos="851"/>
              </w:tabs>
              <w:rPr>
                <w:shd w:val="clear" w:color="auto" w:fill="FFFFFF"/>
              </w:rPr>
            </w:pPr>
          </w:p>
        </w:tc>
        <w:tc>
          <w:tcPr>
            <w:tcW w:w="3085" w:type="dxa"/>
            <w:shd w:val="clear" w:color="auto" w:fill="auto"/>
            <w:vAlign w:val="center"/>
          </w:tcPr>
          <w:p w14:paraId="437322F6">
            <w:pPr>
              <w:tabs>
                <w:tab w:val="left" w:pos="851"/>
              </w:tabs>
              <w:jc w:val="center"/>
              <w:rPr>
                <w:shd w:val="clear" w:color="auto" w:fill="FFFFFF"/>
              </w:rPr>
            </w:pPr>
          </w:p>
        </w:tc>
        <w:tc>
          <w:tcPr>
            <w:tcW w:w="2693" w:type="dxa"/>
            <w:shd w:val="clear" w:color="auto" w:fill="auto"/>
            <w:vAlign w:val="center"/>
          </w:tcPr>
          <w:p w14:paraId="33110F8F">
            <w:pPr>
              <w:tabs>
                <w:tab w:val="left" w:pos="851"/>
              </w:tabs>
              <w:jc w:val="center"/>
              <w:rPr>
                <w:shd w:val="clear" w:color="auto" w:fill="FFFFFF"/>
              </w:rPr>
            </w:pPr>
          </w:p>
        </w:tc>
        <w:tc>
          <w:tcPr>
            <w:tcW w:w="1559" w:type="dxa"/>
            <w:shd w:val="clear" w:color="auto" w:fill="auto"/>
            <w:vAlign w:val="center"/>
          </w:tcPr>
          <w:p w14:paraId="308EB2C6">
            <w:pPr>
              <w:tabs>
                <w:tab w:val="left" w:pos="851"/>
              </w:tabs>
              <w:jc w:val="center"/>
              <w:rPr>
                <w:shd w:val="clear" w:color="auto" w:fill="FFFFFF"/>
              </w:rPr>
            </w:pPr>
          </w:p>
        </w:tc>
      </w:tr>
      <w:tr w14:paraId="7965B5D9">
        <w:tblPrEx>
          <w:tblCellMar>
            <w:top w:w="0" w:type="dxa"/>
            <w:left w:w="108" w:type="dxa"/>
            <w:bottom w:w="0" w:type="dxa"/>
            <w:right w:w="108" w:type="dxa"/>
          </w:tblCellMar>
        </w:tblPrEx>
        <w:tc>
          <w:tcPr>
            <w:tcW w:w="2835" w:type="dxa"/>
            <w:shd w:val="clear" w:color="auto" w:fill="auto"/>
            <w:vAlign w:val="center"/>
          </w:tcPr>
          <w:p w14:paraId="0D14152E">
            <w:pPr>
              <w:tabs>
                <w:tab w:val="left" w:pos="851"/>
              </w:tabs>
              <w:rPr>
                <w:shd w:val="clear" w:color="auto" w:fill="FFFFFF"/>
              </w:rPr>
            </w:pPr>
            <w:r>
              <w:rPr>
                <w:lang w:val="lt-LT"/>
              </w:rPr>
              <w:t>Kauno rajono</w:t>
            </w:r>
            <w:r>
              <w:rPr>
                <w:rFonts w:eastAsia="Calibri"/>
                <w:spacing w:val="2"/>
              </w:rPr>
              <w:t xml:space="preserve"> savivaldybės meras</w:t>
            </w:r>
          </w:p>
        </w:tc>
        <w:tc>
          <w:tcPr>
            <w:tcW w:w="3085" w:type="dxa"/>
            <w:shd w:val="clear" w:color="auto" w:fill="auto"/>
            <w:vAlign w:val="center"/>
          </w:tcPr>
          <w:p w14:paraId="567D2C00">
            <w:pPr>
              <w:tabs>
                <w:tab w:val="left" w:pos="851"/>
              </w:tabs>
              <w:jc w:val="center"/>
              <w:rPr>
                <w:shd w:val="clear" w:color="auto" w:fill="FFFFFF"/>
              </w:rPr>
            </w:pPr>
          </w:p>
        </w:tc>
        <w:tc>
          <w:tcPr>
            <w:tcW w:w="2693" w:type="dxa"/>
            <w:shd w:val="clear" w:color="auto" w:fill="auto"/>
            <w:vAlign w:val="center"/>
          </w:tcPr>
          <w:p w14:paraId="1B0DCEE0">
            <w:pPr>
              <w:tabs>
                <w:tab w:val="left" w:pos="851"/>
              </w:tabs>
              <w:jc w:val="center"/>
              <w:rPr>
                <w:shd w:val="clear" w:color="auto" w:fill="FFFFFF"/>
              </w:rPr>
            </w:pPr>
            <w:r>
              <w:rPr>
                <w:rStyle w:val="18"/>
                <w:b w:val="0"/>
                <w:bCs w:val="0"/>
                <w:shd w:val="clear" w:color="auto" w:fill="FFFFFF"/>
              </w:rPr>
              <w:t>Valerijus Makūnas</w:t>
            </w:r>
          </w:p>
        </w:tc>
        <w:tc>
          <w:tcPr>
            <w:tcW w:w="1559" w:type="dxa"/>
            <w:shd w:val="clear" w:color="auto" w:fill="auto"/>
            <w:vAlign w:val="center"/>
          </w:tcPr>
          <w:p w14:paraId="7BC616CD">
            <w:pPr>
              <w:tabs>
                <w:tab w:val="left" w:pos="851"/>
              </w:tabs>
              <w:jc w:val="center"/>
              <w:rPr>
                <w:shd w:val="clear" w:color="auto" w:fill="FFFFFF"/>
              </w:rPr>
            </w:pPr>
          </w:p>
        </w:tc>
      </w:tr>
      <w:tr w14:paraId="702A8F65">
        <w:tblPrEx>
          <w:tblCellMar>
            <w:top w:w="0" w:type="dxa"/>
            <w:left w:w="108" w:type="dxa"/>
            <w:bottom w:w="0" w:type="dxa"/>
            <w:right w:w="108" w:type="dxa"/>
          </w:tblCellMar>
        </w:tblPrEx>
        <w:tc>
          <w:tcPr>
            <w:tcW w:w="2835" w:type="dxa"/>
            <w:shd w:val="clear" w:color="auto" w:fill="auto"/>
            <w:vAlign w:val="center"/>
          </w:tcPr>
          <w:p w14:paraId="4DFE3DF1">
            <w:pPr>
              <w:tabs>
                <w:tab w:val="left" w:pos="851"/>
              </w:tabs>
              <w:rPr>
                <w:rFonts w:eastAsia="Calibri"/>
                <w:spacing w:val="2"/>
              </w:rPr>
            </w:pPr>
          </w:p>
        </w:tc>
        <w:tc>
          <w:tcPr>
            <w:tcW w:w="3085" w:type="dxa"/>
            <w:shd w:val="clear" w:color="auto" w:fill="auto"/>
            <w:vAlign w:val="center"/>
          </w:tcPr>
          <w:p w14:paraId="2D9B26FC">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3433629F">
            <w:pPr>
              <w:tabs>
                <w:tab w:val="left" w:pos="851"/>
              </w:tabs>
              <w:jc w:val="center"/>
              <w:rPr>
                <w:shd w:val="clear" w:color="auto" w:fill="FFFFFF"/>
              </w:rPr>
            </w:pPr>
          </w:p>
        </w:tc>
        <w:tc>
          <w:tcPr>
            <w:tcW w:w="1559" w:type="dxa"/>
            <w:shd w:val="clear" w:color="auto" w:fill="auto"/>
            <w:vAlign w:val="center"/>
          </w:tcPr>
          <w:p w14:paraId="325B35C5">
            <w:pPr>
              <w:tabs>
                <w:tab w:val="left" w:pos="851"/>
              </w:tabs>
              <w:jc w:val="center"/>
              <w:rPr>
                <w:shd w:val="clear" w:color="auto" w:fill="FFFFFF"/>
              </w:rPr>
            </w:pPr>
            <w:r>
              <w:rPr>
                <w:rFonts w:eastAsia="Calibri"/>
                <w:i/>
                <w:spacing w:val="2"/>
              </w:rPr>
              <w:t>(data)</w:t>
            </w:r>
          </w:p>
        </w:tc>
      </w:tr>
      <w:tr w14:paraId="41EDD1CD">
        <w:tblPrEx>
          <w:tblCellMar>
            <w:top w:w="0" w:type="dxa"/>
            <w:left w:w="108" w:type="dxa"/>
            <w:bottom w:w="0" w:type="dxa"/>
            <w:right w:w="108" w:type="dxa"/>
          </w:tblCellMar>
        </w:tblPrEx>
        <w:tc>
          <w:tcPr>
            <w:tcW w:w="2835" w:type="dxa"/>
            <w:shd w:val="clear" w:color="auto" w:fill="auto"/>
            <w:vAlign w:val="center"/>
          </w:tcPr>
          <w:p w14:paraId="2BCC04D0">
            <w:pPr>
              <w:tabs>
                <w:tab w:val="left" w:pos="851"/>
              </w:tabs>
              <w:rPr>
                <w:rFonts w:eastAsia="Calibri"/>
                <w:spacing w:val="2"/>
              </w:rPr>
            </w:pPr>
          </w:p>
        </w:tc>
        <w:tc>
          <w:tcPr>
            <w:tcW w:w="3085" w:type="dxa"/>
            <w:shd w:val="clear" w:color="auto" w:fill="auto"/>
            <w:vAlign w:val="center"/>
          </w:tcPr>
          <w:p w14:paraId="4CE1616D">
            <w:pPr>
              <w:tabs>
                <w:tab w:val="left" w:pos="851"/>
              </w:tabs>
              <w:jc w:val="center"/>
              <w:rPr>
                <w:shd w:val="clear" w:color="auto" w:fill="FFFFFF"/>
              </w:rPr>
            </w:pPr>
          </w:p>
        </w:tc>
        <w:tc>
          <w:tcPr>
            <w:tcW w:w="2693" w:type="dxa"/>
            <w:shd w:val="clear" w:color="auto" w:fill="auto"/>
            <w:vAlign w:val="center"/>
          </w:tcPr>
          <w:p w14:paraId="7D635F78">
            <w:pPr>
              <w:tabs>
                <w:tab w:val="left" w:pos="851"/>
              </w:tabs>
              <w:jc w:val="center"/>
              <w:rPr>
                <w:shd w:val="clear" w:color="auto" w:fill="FFFFFF"/>
              </w:rPr>
            </w:pPr>
          </w:p>
        </w:tc>
        <w:tc>
          <w:tcPr>
            <w:tcW w:w="1559" w:type="dxa"/>
            <w:shd w:val="clear" w:color="auto" w:fill="auto"/>
            <w:vAlign w:val="center"/>
          </w:tcPr>
          <w:p w14:paraId="68528CBB">
            <w:pPr>
              <w:tabs>
                <w:tab w:val="left" w:pos="851"/>
              </w:tabs>
              <w:jc w:val="center"/>
              <w:rPr>
                <w:shd w:val="clear" w:color="auto" w:fill="FFFFFF"/>
              </w:rPr>
            </w:pPr>
          </w:p>
        </w:tc>
      </w:tr>
      <w:tr w14:paraId="085D09CE">
        <w:tblPrEx>
          <w:tblCellMar>
            <w:top w:w="0" w:type="dxa"/>
            <w:left w:w="108" w:type="dxa"/>
            <w:bottom w:w="0" w:type="dxa"/>
            <w:right w:w="108" w:type="dxa"/>
          </w:tblCellMar>
        </w:tblPrEx>
        <w:tc>
          <w:tcPr>
            <w:tcW w:w="2835" w:type="dxa"/>
            <w:shd w:val="clear" w:color="auto" w:fill="auto"/>
            <w:vAlign w:val="center"/>
          </w:tcPr>
          <w:p w14:paraId="5B968694">
            <w:pPr>
              <w:tabs>
                <w:tab w:val="left" w:pos="851"/>
              </w:tabs>
              <w:rPr>
                <w:rFonts w:eastAsia="Calibri"/>
                <w:spacing w:val="2"/>
              </w:rPr>
            </w:pPr>
            <w:r>
              <w:rPr>
                <w:lang w:val="lt-LT"/>
              </w:rPr>
              <w:t xml:space="preserve">Kėdainių rajono </w:t>
            </w:r>
            <w:r>
              <w:rPr>
                <w:rFonts w:eastAsia="Calibri"/>
                <w:spacing w:val="2"/>
              </w:rPr>
              <w:t>savivaldybės meras</w:t>
            </w:r>
          </w:p>
        </w:tc>
        <w:tc>
          <w:tcPr>
            <w:tcW w:w="3085" w:type="dxa"/>
            <w:shd w:val="clear" w:color="auto" w:fill="auto"/>
            <w:vAlign w:val="center"/>
          </w:tcPr>
          <w:p w14:paraId="38B5C531">
            <w:pPr>
              <w:tabs>
                <w:tab w:val="left" w:pos="851"/>
              </w:tabs>
              <w:jc w:val="center"/>
              <w:rPr>
                <w:shd w:val="clear" w:color="auto" w:fill="FFFFFF"/>
              </w:rPr>
            </w:pPr>
          </w:p>
        </w:tc>
        <w:tc>
          <w:tcPr>
            <w:tcW w:w="2693" w:type="dxa"/>
            <w:shd w:val="clear" w:color="auto" w:fill="auto"/>
            <w:vAlign w:val="center"/>
          </w:tcPr>
          <w:p w14:paraId="305AB215">
            <w:pPr>
              <w:tabs>
                <w:tab w:val="left" w:pos="851"/>
              </w:tabs>
              <w:jc w:val="center"/>
              <w:rPr>
                <w:shd w:val="clear" w:color="auto" w:fill="FFFFFF"/>
              </w:rPr>
            </w:pPr>
            <w:r>
              <w:rPr>
                <w:rStyle w:val="18"/>
                <w:b w:val="0"/>
                <w:bCs w:val="0"/>
                <w:shd w:val="clear" w:color="auto" w:fill="FFFFFF"/>
              </w:rPr>
              <w:t>Valentinas Tamulis</w:t>
            </w:r>
          </w:p>
        </w:tc>
        <w:tc>
          <w:tcPr>
            <w:tcW w:w="1559" w:type="dxa"/>
            <w:shd w:val="clear" w:color="auto" w:fill="auto"/>
            <w:vAlign w:val="center"/>
          </w:tcPr>
          <w:p w14:paraId="226E9BD5">
            <w:pPr>
              <w:tabs>
                <w:tab w:val="left" w:pos="851"/>
              </w:tabs>
              <w:jc w:val="center"/>
              <w:rPr>
                <w:shd w:val="clear" w:color="auto" w:fill="FFFFFF"/>
              </w:rPr>
            </w:pPr>
          </w:p>
        </w:tc>
      </w:tr>
      <w:tr w14:paraId="797A2C80">
        <w:tblPrEx>
          <w:tblCellMar>
            <w:top w:w="0" w:type="dxa"/>
            <w:left w:w="108" w:type="dxa"/>
            <w:bottom w:w="0" w:type="dxa"/>
            <w:right w:w="108" w:type="dxa"/>
          </w:tblCellMar>
        </w:tblPrEx>
        <w:tc>
          <w:tcPr>
            <w:tcW w:w="2835" w:type="dxa"/>
            <w:shd w:val="clear" w:color="auto" w:fill="auto"/>
            <w:vAlign w:val="center"/>
          </w:tcPr>
          <w:p w14:paraId="744DEBFD">
            <w:pPr>
              <w:tabs>
                <w:tab w:val="left" w:pos="851"/>
              </w:tabs>
              <w:rPr>
                <w:rFonts w:eastAsia="Calibri"/>
                <w:spacing w:val="2"/>
              </w:rPr>
            </w:pPr>
          </w:p>
        </w:tc>
        <w:tc>
          <w:tcPr>
            <w:tcW w:w="3085" w:type="dxa"/>
            <w:shd w:val="clear" w:color="auto" w:fill="auto"/>
            <w:vAlign w:val="center"/>
          </w:tcPr>
          <w:p w14:paraId="6C63460A">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3782D4A9">
            <w:pPr>
              <w:tabs>
                <w:tab w:val="left" w:pos="851"/>
              </w:tabs>
              <w:jc w:val="center"/>
              <w:rPr>
                <w:rFonts w:eastAsia="Calibri"/>
                <w:spacing w:val="2"/>
              </w:rPr>
            </w:pPr>
          </w:p>
        </w:tc>
        <w:tc>
          <w:tcPr>
            <w:tcW w:w="1559" w:type="dxa"/>
            <w:shd w:val="clear" w:color="auto" w:fill="auto"/>
            <w:vAlign w:val="center"/>
          </w:tcPr>
          <w:p w14:paraId="312527F2">
            <w:pPr>
              <w:tabs>
                <w:tab w:val="left" w:pos="851"/>
              </w:tabs>
              <w:jc w:val="center"/>
              <w:rPr>
                <w:shd w:val="clear" w:color="auto" w:fill="FFFFFF"/>
              </w:rPr>
            </w:pPr>
            <w:r>
              <w:rPr>
                <w:rFonts w:eastAsia="Calibri"/>
                <w:i/>
                <w:spacing w:val="2"/>
              </w:rPr>
              <w:t>(data)</w:t>
            </w:r>
          </w:p>
        </w:tc>
      </w:tr>
      <w:tr w14:paraId="79E0D427">
        <w:tblPrEx>
          <w:tblCellMar>
            <w:top w:w="0" w:type="dxa"/>
            <w:left w:w="108" w:type="dxa"/>
            <w:bottom w:w="0" w:type="dxa"/>
            <w:right w:w="108" w:type="dxa"/>
          </w:tblCellMar>
        </w:tblPrEx>
        <w:tc>
          <w:tcPr>
            <w:tcW w:w="2835" w:type="dxa"/>
            <w:shd w:val="clear" w:color="auto" w:fill="auto"/>
            <w:vAlign w:val="center"/>
          </w:tcPr>
          <w:p w14:paraId="5F0A368A">
            <w:pPr>
              <w:tabs>
                <w:tab w:val="left" w:pos="851"/>
              </w:tabs>
              <w:rPr>
                <w:rFonts w:eastAsia="Calibri"/>
                <w:spacing w:val="2"/>
              </w:rPr>
            </w:pPr>
          </w:p>
        </w:tc>
        <w:tc>
          <w:tcPr>
            <w:tcW w:w="3085" w:type="dxa"/>
            <w:shd w:val="clear" w:color="auto" w:fill="auto"/>
            <w:vAlign w:val="center"/>
          </w:tcPr>
          <w:p w14:paraId="25DB38B5">
            <w:pPr>
              <w:tabs>
                <w:tab w:val="left" w:pos="851"/>
              </w:tabs>
              <w:jc w:val="center"/>
              <w:rPr>
                <w:rFonts w:eastAsia="Calibri"/>
                <w:i/>
                <w:spacing w:val="2"/>
              </w:rPr>
            </w:pPr>
          </w:p>
        </w:tc>
        <w:tc>
          <w:tcPr>
            <w:tcW w:w="2693" w:type="dxa"/>
            <w:shd w:val="clear" w:color="auto" w:fill="auto"/>
            <w:vAlign w:val="center"/>
          </w:tcPr>
          <w:p w14:paraId="661B32CC">
            <w:pPr>
              <w:tabs>
                <w:tab w:val="left" w:pos="851"/>
              </w:tabs>
              <w:jc w:val="center"/>
              <w:rPr>
                <w:rFonts w:eastAsia="Calibri"/>
                <w:spacing w:val="2"/>
              </w:rPr>
            </w:pPr>
          </w:p>
        </w:tc>
        <w:tc>
          <w:tcPr>
            <w:tcW w:w="1559" w:type="dxa"/>
            <w:shd w:val="clear" w:color="auto" w:fill="auto"/>
            <w:vAlign w:val="center"/>
          </w:tcPr>
          <w:p w14:paraId="3C789B0B">
            <w:pPr>
              <w:tabs>
                <w:tab w:val="left" w:pos="851"/>
              </w:tabs>
              <w:jc w:val="center"/>
              <w:rPr>
                <w:rFonts w:eastAsia="Calibri"/>
                <w:i/>
                <w:spacing w:val="2"/>
              </w:rPr>
            </w:pPr>
          </w:p>
        </w:tc>
      </w:tr>
      <w:tr w14:paraId="4D7D77AE">
        <w:tblPrEx>
          <w:tblCellMar>
            <w:top w:w="0" w:type="dxa"/>
            <w:left w:w="108" w:type="dxa"/>
            <w:bottom w:w="0" w:type="dxa"/>
            <w:right w:w="108" w:type="dxa"/>
          </w:tblCellMar>
        </w:tblPrEx>
        <w:tc>
          <w:tcPr>
            <w:tcW w:w="2835" w:type="dxa"/>
            <w:shd w:val="clear" w:color="auto" w:fill="auto"/>
            <w:vAlign w:val="center"/>
          </w:tcPr>
          <w:p w14:paraId="4137D03B">
            <w:pPr>
              <w:tabs>
                <w:tab w:val="left" w:pos="851"/>
              </w:tabs>
              <w:rPr>
                <w:rFonts w:eastAsia="Calibri"/>
                <w:spacing w:val="2"/>
              </w:rPr>
            </w:pPr>
            <w:r>
              <w:rPr>
                <w:lang w:val="lt-LT"/>
              </w:rPr>
              <w:t xml:space="preserve">Prienų rajono </w:t>
            </w:r>
            <w:r>
              <w:rPr>
                <w:rFonts w:eastAsia="Calibri"/>
                <w:spacing w:val="2"/>
              </w:rPr>
              <w:t>savivaldybės meras</w:t>
            </w:r>
          </w:p>
        </w:tc>
        <w:tc>
          <w:tcPr>
            <w:tcW w:w="3085" w:type="dxa"/>
            <w:shd w:val="clear" w:color="auto" w:fill="auto"/>
            <w:vAlign w:val="center"/>
          </w:tcPr>
          <w:p w14:paraId="153C4F36">
            <w:pPr>
              <w:tabs>
                <w:tab w:val="left" w:pos="851"/>
              </w:tabs>
              <w:jc w:val="center"/>
              <w:rPr>
                <w:shd w:val="clear" w:color="auto" w:fill="FFFFFF"/>
              </w:rPr>
            </w:pPr>
          </w:p>
        </w:tc>
        <w:tc>
          <w:tcPr>
            <w:tcW w:w="2693" w:type="dxa"/>
            <w:shd w:val="clear" w:color="auto" w:fill="auto"/>
            <w:vAlign w:val="center"/>
          </w:tcPr>
          <w:p w14:paraId="45B7940C">
            <w:pPr>
              <w:tabs>
                <w:tab w:val="left" w:pos="851"/>
              </w:tabs>
              <w:jc w:val="center"/>
              <w:rPr>
                <w:rFonts w:eastAsia="Calibri"/>
                <w:spacing w:val="2"/>
              </w:rPr>
            </w:pPr>
            <w:r>
              <w:rPr>
                <w:rStyle w:val="18"/>
                <w:b w:val="0"/>
                <w:bCs w:val="0"/>
                <w:shd w:val="clear" w:color="auto" w:fill="FFFFFF"/>
              </w:rPr>
              <w:t>Alvydas Vaicekauskas</w:t>
            </w:r>
          </w:p>
        </w:tc>
        <w:tc>
          <w:tcPr>
            <w:tcW w:w="1559" w:type="dxa"/>
            <w:shd w:val="clear" w:color="auto" w:fill="auto"/>
            <w:vAlign w:val="center"/>
          </w:tcPr>
          <w:p w14:paraId="2EB76A80">
            <w:pPr>
              <w:tabs>
                <w:tab w:val="left" w:pos="851"/>
              </w:tabs>
              <w:jc w:val="center"/>
              <w:rPr>
                <w:shd w:val="clear" w:color="auto" w:fill="FFFFFF"/>
              </w:rPr>
            </w:pPr>
          </w:p>
        </w:tc>
      </w:tr>
      <w:tr w14:paraId="7ED7D7D7">
        <w:tblPrEx>
          <w:tblCellMar>
            <w:top w:w="0" w:type="dxa"/>
            <w:left w:w="108" w:type="dxa"/>
            <w:bottom w:w="0" w:type="dxa"/>
            <w:right w:w="108" w:type="dxa"/>
          </w:tblCellMar>
        </w:tblPrEx>
        <w:tc>
          <w:tcPr>
            <w:tcW w:w="2835" w:type="dxa"/>
            <w:shd w:val="clear" w:color="auto" w:fill="auto"/>
            <w:vAlign w:val="center"/>
          </w:tcPr>
          <w:p w14:paraId="61653D7A">
            <w:pPr>
              <w:tabs>
                <w:tab w:val="left" w:pos="851"/>
              </w:tabs>
              <w:rPr>
                <w:rFonts w:eastAsia="Calibri"/>
                <w:spacing w:val="2"/>
              </w:rPr>
            </w:pPr>
          </w:p>
        </w:tc>
        <w:tc>
          <w:tcPr>
            <w:tcW w:w="3085" w:type="dxa"/>
            <w:shd w:val="clear" w:color="auto" w:fill="auto"/>
            <w:vAlign w:val="center"/>
          </w:tcPr>
          <w:p w14:paraId="03F46769">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522FE4CF">
            <w:pPr>
              <w:tabs>
                <w:tab w:val="left" w:pos="851"/>
              </w:tabs>
              <w:jc w:val="center"/>
              <w:rPr>
                <w:rFonts w:eastAsia="Calibri"/>
                <w:spacing w:val="2"/>
              </w:rPr>
            </w:pPr>
          </w:p>
        </w:tc>
        <w:tc>
          <w:tcPr>
            <w:tcW w:w="1559" w:type="dxa"/>
            <w:shd w:val="clear" w:color="auto" w:fill="auto"/>
            <w:vAlign w:val="center"/>
          </w:tcPr>
          <w:p w14:paraId="1269C5D9">
            <w:pPr>
              <w:tabs>
                <w:tab w:val="left" w:pos="851"/>
              </w:tabs>
              <w:jc w:val="center"/>
              <w:rPr>
                <w:shd w:val="clear" w:color="auto" w:fill="FFFFFF"/>
              </w:rPr>
            </w:pPr>
            <w:r>
              <w:rPr>
                <w:rFonts w:eastAsia="Calibri"/>
                <w:i/>
                <w:spacing w:val="2"/>
              </w:rPr>
              <w:t>(data)</w:t>
            </w:r>
          </w:p>
        </w:tc>
      </w:tr>
      <w:tr w14:paraId="03280AFF">
        <w:tblPrEx>
          <w:tblCellMar>
            <w:top w:w="0" w:type="dxa"/>
            <w:left w:w="108" w:type="dxa"/>
            <w:bottom w:w="0" w:type="dxa"/>
            <w:right w:w="108" w:type="dxa"/>
          </w:tblCellMar>
        </w:tblPrEx>
        <w:tc>
          <w:tcPr>
            <w:tcW w:w="2835" w:type="dxa"/>
            <w:shd w:val="clear" w:color="auto" w:fill="auto"/>
            <w:vAlign w:val="center"/>
          </w:tcPr>
          <w:p w14:paraId="39805448">
            <w:pPr>
              <w:tabs>
                <w:tab w:val="left" w:pos="851"/>
              </w:tabs>
              <w:rPr>
                <w:rFonts w:eastAsia="Calibri"/>
                <w:spacing w:val="2"/>
              </w:rPr>
            </w:pPr>
          </w:p>
        </w:tc>
        <w:tc>
          <w:tcPr>
            <w:tcW w:w="3085" w:type="dxa"/>
            <w:shd w:val="clear" w:color="auto" w:fill="auto"/>
            <w:vAlign w:val="center"/>
          </w:tcPr>
          <w:p w14:paraId="0B2E2DB2">
            <w:pPr>
              <w:tabs>
                <w:tab w:val="left" w:pos="851"/>
              </w:tabs>
              <w:jc w:val="center"/>
              <w:rPr>
                <w:rFonts w:eastAsia="Calibri"/>
                <w:i/>
                <w:spacing w:val="2"/>
              </w:rPr>
            </w:pPr>
          </w:p>
        </w:tc>
        <w:tc>
          <w:tcPr>
            <w:tcW w:w="2693" w:type="dxa"/>
            <w:shd w:val="clear" w:color="auto" w:fill="auto"/>
            <w:vAlign w:val="center"/>
          </w:tcPr>
          <w:p w14:paraId="059BA97C">
            <w:pPr>
              <w:tabs>
                <w:tab w:val="left" w:pos="851"/>
              </w:tabs>
              <w:jc w:val="center"/>
              <w:rPr>
                <w:rFonts w:eastAsia="Calibri"/>
                <w:spacing w:val="2"/>
              </w:rPr>
            </w:pPr>
          </w:p>
        </w:tc>
        <w:tc>
          <w:tcPr>
            <w:tcW w:w="1559" w:type="dxa"/>
            <w:shd w:val="clear" w:color="auto" w:fill="auto"/>
            <w:vAlign w:val="center"/>
          </w:tcPr>
          <w:p w14:paraId="3FC1A6C8">
            <w:pPr>
              <w:tabs>
                <w:tab w:val="left" w:pos="851"/>
              </w:tabs>
              <w:jc w:val="center"/>
              <w:rPr>
                <w:rFonts w:eastAsia="Calibri"/>
                <w:i/>
                <w:spacing w:val="2"/>
              </w:rPr>
            </w:pPr>
          </w:p>
        </w:tc>
      </w:tr>
      <w:tr w14:paraId="2A7D48DE">
        <w:tblPrEx>
          <w:tblCellMar>
            <w:top w:w="0" w:type="dxa"/>
            <w:left w:w="108" w:type="dxa"/>
            <w:bottom w:w="0" w:type="dxa"/>
            <w:right w:w="108" w:type="dxa"/>
          </w:tblCellMar>
        </w:tblPrEx>
        <w:tc>
          <w:tcPr>
            <w:tcW w:w="2835" w:type="dxa"/>
            <w:shd w:val="clear" w:color="auto" w:fill="auto"/>
            <w:vAlign w:val="center"/>
          </w:tcPr>
          <w:p w14:paraId="323A7EED">
            <w:pPr>
              <w:tabs>
                <w:tab w:val="left" w:pos="851"/>
              </w:tabs>
              <w:rPr>
                <w:rFonts w:eastAsia="Calibri"/>
                <w:spacing w:val="2"/>
              </w:rPr>
            </w:pPr>
            <w:r>
              <w:rPr>
                <w:lang w:val="lt-LT"/>
              </w:rPr>
              <w:t xml:space="preserve">Raseinių rajono </w:t>
            </w:r>
            <w:r>
              <w:rPr>
                <w:rFonts w:eastAsia="Calibri"/>
                <w:spacing w:val="2"/>
              </w:rPr>
              <w:t>savivaldybės meras</w:t>
            </w:r>
          </w:p>
        </w:tc>
        <w:tc>
          <w:tcPr>
            <w:tcW w:w="3085" w:type="dxa"/>
            <w:shd w:val="clear" w:color="auto" w:fill="auto"/>
            <w:vAlign w:val="center"/>
          </w:tcPr>
          <w:p w14:paraId="09241CF9">
            <w:pPr>
              <w:tabs>
                <w:tab w:val="left" w:pos="851"/>
              </w:tabs>
              <w:jc w:val="center"/>
              <w:rPr>
                <w:shd w:val="clear" w:color="auto" w:fill="FFFFFF"/>
              </w:rPr>
            </w:pPr>
          </w:p>
        </w:tc>
        <w:tc>
          <w:tcPr>
            <w:tcW w:w="2693" w:type="dxa"/>
            <w:shd w:val="clear" w:color="auto" w:fill="auto"/>
            <w:vAlign w:val="center"/>
          </w:tcPr>
          <w:p w14:paraId="497842E4">
            <w:pPr>
              <w:tabs>
                <w:tab w:val="left" w:pos="851"/>
              </w:tabs>
              <w:jc w:val="center"/>
              <w:rPr>
                <w:rFonts w:eastAsia="Calibri"/>
                <w:spacing w:val="2"/>
              </w:rPr>
            </w:pPr>
            <w:r>
              <w:rPr>
                <w:rStyle w:val="18"/>
                <w:b w:val="0"/>
                <w:bCs w:val="0"/>
                <w:shd w:val="clear" w:color="auto" w:fill="FFFFFF"/>
              </w:rPr>
              <w:t>Arvydas Nekrošius</w:t>
            </w:r>
          </w:p>
        </w:tc>
        <w:tc>
          <w:tcPr>
            <w:tcW w:w="1559" w:type="dxa"/>
            <w:shd w:val="clear" w:color="auto" w:fill="auto"/>
            <w:vAlign w:val="center"/>
          </w:tcPr>
          <w:p w14:paraId="25AAF4C7">
            <w:pPr>
              <w:tabs>
                <w:tab w:val="left" w:pos="851"/>
              </w:tabs>
              <w:jc w:val="center"/>
              <w:rPr>
                <w:shd w:val="clear" w:color="auto" w:fill="FFFFFF"/>
              </w:rPr>
            </w:pPr>
          </w:p>
        </w:tc>
      </w:tr>
      <w:tr w14:paraId="6494C2B4">
        <w:tblPrEx>
          <w:tblCellMar>
            <w:top w:w="0" w:type="dxa"/>
            <w:left w:w="108" w:type="dxa"/>
            <w:bottom w:w="0" w:type="dxa"/>
            <w:right w:w="108" w:type="dxa"/>
          </w:tblCellMar>
        </w:tblPrEx>
        <w:tc>
          <w:tcPr>
            <w:tcW w:w="2835" w:type="dxa"/>
            <w:shd w:val="clear" w:color="auto" w:fill="auto"/>
            <w:vAlign w:val="center"/>
          </w:tcPr>
          <w:p w14:paraId="23612692">
            <w:pPr>
              <w:tabs>
                <w:tab w:val="left" w:pos="851"/>
              </w:tabs>
              <w:rPr>
                <w:rFonts w:eastAsia="Calibri"/>
                <w:spacing w:val="2"/>
              </w:rPr>
            </w:pPr>
          </w:p>
        </w:tc>
        <w:tc>
          <w:tcPr>
            <w:tcW w:w="3085" w:type="dxa"/>
            <w:shd w:val="clear" w:color="auto" w:fill="auto"/>
            <w:vAlign w:val="center"/>
          </w:tcPr>
          <w:p w14:paraId="6111722C">
            <w:pPr>
              <w:tabs>
                <w:tab w:val="left" w:pos="851"/>
              </w:tabs>
              <w:jc w:val="center"/>
              <w:rPr>
                <w:shd w:val="clear" w:color="auto" w:fill="FFFFFF"/>
              </w:rPr>
            </w:pPr>
            <w:r>
              <w:rPr>
                <w:rFonts w:eastAsia="Calibri"/>
                <w:i/>
                <w:spacing w:val="2"/>
              </w:rPr>
              <w:t>(parašas)</w:t>
            </w:r>
          </w:p>
        </w:tc>
        <w:tc>
          <w:tcPr>
            <w:tcW w:w="2693" w:type="dxa"/>
            <w:shd w:val="clear" w:color="auto" w:fill="auto"/>
            <w:vAlign w:val="center"/>
          </w:tcPr>
          <w:p w14:paraId="7555F898">
            <w:pPr>
              <w:tabs>
                <w:tab w:val="left" w:pos="851"/>
              </w:tabs>
              <w:jc w:val="center"/>
              <w:rPr>
                <w:rFonts w:eastAsia="Calibri"/>
                <w:spacing w:val="2"/>
              </w:rPr>
            </w:pPr>
          </w:p>
        </w:tc>
        <w:tc>
          <w:tcPr>
            <w:tcW w:w="1559" w:type="dxa"/>
            <w:shd w:val="clear" w:color="auto" w:fill="auto"/>
            <w:vAlign w:val="center"/>
          </w:tcPr>
          <w:p w14:paraId="7E2ECDA9">
            <w:pPr>
              <w:tabs>
                <w:tab w:val="left" w:pos="851"/>
              </w:tabs>
              <w:jc w:val="center"/>
              <w:rPr>
                <w:shd w:val="clear" w:color="auto" w:fill="FFFFFF"/>
              </w:rPr>
            </w:pPr>
            <w:r>
              <w:rPr>
                <w:rFonts w:eastAsia="Calibri"/>
                <w:i/>
                <w:spacing w:val="2"/>
              </w:rPr>
              <w:t>(data)</w:t>
            </w:r>
          </w:p>
        </w:tc>
      </w:tr>
      <w:tr w14:paraId="5C44F23D">
        <w:tblPrEx>
          <w:tblCellMar>
            <w:top w:w="0" w:type="dxa"/>
            <w:left w:w="108" w:type="dxa"/>
            <w:bottom w:w="0" w:type="dxa"/>
            <w:right w:w="108" w:type="dxa"/>
          </w:tblCellMar>
        </w:tblPrEx>
        <w:tc>
          <w:tcPr>
            <w:tcW w:w="2835" w:type="dxa"/>
            <w:shd w:val="clear" w:color="auto" w:fill="auto"/>
            <w:vAlign w:val="center"/>
          </w:tcPr>
          <w:p w14:paraId="39FE6C67">
            <w:pPr>
              <w:tabs>
                <w:tab w:val="left" w:pos="851"/>
              </w:tabs>
              <w:rPr>
                <w:rFonts w:eastAsia="Calibri"/>
                <w:spacing w:val="2"/>
              </w:rPr>
            </w:pPr>
          </w:p>
        </w:tc>
        <w:tc>
          <w:tcPr>
            <w:tcW w:w="3085" w:type="dxa"/>
            <w:shd w:val="clear" w:color="auto" w:fill="auto"/>
            <w:vAlign w:val="center"/>
          </w:tcPr>
          <w:p w14:paraId="70916C4E">
            <w:pPr>
              <w:tabs>
                <w:tab w:val="left" w:pos="851"/>
              </w:tabs>
              <w:jc w:val="center"/>
              <w:rPr>
                <w:shd w:val="clear" w:color="auto" w:fill="FFFFFF"/>
              </w:rPr>
            </w:pPr>
          </w:p>
        </w:tc>
        <w:tc>
          <w:tcPr>
            <w:tcW w:w="2693" w:type="dxa"/>
            <w:shd w:val="clear" w:color="auto" w:fill="auto"/>
            <w:vAlign w:val="center"/>
          </w:tcPr>
          <w:p w14:paraId="15F4D1B8">
            <w:pPr>
              <w:tabs>
                <w:tab w:val="left" w:pos="851"/>
              </w:tabs>
              <w:jc w:val="center"/>
              <w:rPr>
                <w:rFonts w:eastAsia="Calibri"/>
                <w:spacing w:val="2"/>
              </w:rPr>
            </w:pPr>
          </w:p>
        </w:tc>
        <w:tc>
          <w:tcPr>
            <w:tcW w:w="1559" w:type="dxa"/>
            <w:shd w:val="clear" w:color="auto" w:fill="auto"/>
            <w:vAlign w:val="center"/>
          </w:tcPr>
          <w:p w14:paraId="6C1E2A2D">
            <w:pPr>
              <w:tabs>
                <w:tab w:val="left" w:pos="851"/>
              </w:tabs>
              <w:jc w:val="center"/>
              <w:rPr>
                <w:shd w:val="clear" w:color="auto" w:fill="FFFFFF"/>
              </w:rPr>
            </w:pPr>
          </w:p>
        </w:tc>
      </w:tr>
    </w:tbl>
    <w:p w14:paraId="5C0DEB98">
      <w:pPr>
        <w:widowControl w:val="0"/>
        <w:autoSpaceDE w:val="0"/>
        <w:autoSpaceDN w:val="0"/>
        <w:adjustRightInd w:val="0"/>
        <w:jc w:val="center"/>
        <w:rPr>
          <w:b/>
          <w:lang w:val="lt-LT"/>
        </w:rPr>
      </w:pPr>
    </w:p>
    <w:p w14:paraId="1E2F1869">
      <w:pPr>
        <w:widowControl w:val="0"/>
        <w:autoSpaceDE w:val="0"/>
        <w:autoSpaceDN w:val="0"/>
        <w:adjustRightInd w:val="0"/>
        <w:jc w:val="center"/>
        <w:rPr>
          <w:b/>
          <w:lang w:val="lt-LT"/>
        </w:rPr>
      </w:pPr>
      <w:r>
        <w:rPr>
          <w:lang w:val="lt-LT"/>
        </w:rPr>
        <w:t>______________________</w:t>
      </w:r>
    </w:p>
    <w:sectPr>
      <w:headerReference r:id="rId3" w:type="default"/>
      <w:footerReference r:id="rId4" w:type="default"/>
      <w:footerReference r:id="rId5" w:type="even"/>
      <w:pgSz w:w="11909" w:h="16834"/>
      <w:pgMar w:top="993" w:right="569" w:bottom="851" w:left="1080" w:header="567" w:footer="567" w:gutter="0"/>
      <w:cols w:space="484"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BA"/>
    <w:family w:val="swiss"/>
    <w:pitch w:val="default"/>
    <w:sig w:usb0="E4002EFF" w:usb1="C2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Verdana">
    <w:panose1 w:val="020B0604030504040204"/>
    <w:charset w:val="BA"/>
    <w:family w:val="swiss"/>
    <w:pitch w:val="default"/>
    <w:sig w:usb0="A00006FF" w:usb1="4000205B" w:usb2="00000010" w:usb3="00000000" w:csb0="2000019F" w:csb1="00000000"/>
  </w:font>
  <w:font w:name="Calibri">
    <w:panose1 w:val="020F0502020204030204"/>
    <w:charset w:val="BA"/>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A1A3">
    <w:pPr>
      <w:pStyle w:val="12"/>
      <w:framePr w:wrap="around" w:vAnchor="text" w:hAnchor="margin" w:xAlign="right" w:y="1"/>
      <w:rPr>
        <w:rStyle w:val="17"/>
      </w:rPr>
    </w:pPr>
  </w:p>
  <w:p w14:paraId="6BC7B7B0">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0016">
    <w:pPr>
      <w:pStyle w:val="12"/>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73D41C9D">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A0C8">
    <w:pPr>
      <w:pStyle w:val="13"/>
      <w:jc w:val="center"/>
    </w:pPr>
    <w:r>
      <w:fldChar w:fldCharType="begin"/>
    </w:r>
    <w:r>
      <w:instrText xml:space="preserve"> PAGE   \* MERGEFORMAT </w:instrText>
    </w:r>
    <w:r>
      <w:fldChar w:fldCharType="separate"/>
    </w:r>
    <w:r>
      <w:t>2</w:t>
    </w:r>
    <w:r>
      <w:fldChar w:fldCharType="end"/>
    </w:r>
  </w:p>
  <w:p w14:paraId="5BA0EB4D">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97492"/>
    <w:multiLevelType w:val="multilevel"/>
    <w:tmpl w:val="3E797492"/>
    <w:lvl w:ilvl="0" w:tentative="0">
      <w:start w:val="1"/>
      <w:numFmt w:val="decimal"/>
      <w:pStyle w:val="28"/>
      <w:lvlText w:val="%1."/>
      <w:lvlJc w:val="left"/>
      <w:pPr>
        <w:ind w:left="6663" w:firstLine="0"/>
      </w:pPr>
      <w:rPr>
        <w:rFonts w:hint="default"/>
        <w:b w:val="0"/>
        <w:bCs w:val="0"/>
        <w:color w:val="auto"/>
      </w:rPr>
    </w:lvl>
    <w:lvl w:ilvl="1" w:tentative="0">
      <w:start w:val="1"/>
      <w:numFmt w:val="decimal"/>
      <w:lvlText w:val="%1.%2."/>
      <w:lvlJc w:val="left"/>
      <w:pPr>
        <w:ind w:left="1418" w:firstLine="0"/>
      </w:pPr>
      <w:rPr>
        <w:rFonts w:hint="default"/>
        <w:i w:val="0"/>
        <w:iCs w:val="0"/>
        <w:color w:val="auto"/>
      </w:rPr>
    </w:lvl>
    <w:lvl w:ilvl="2" w:tentative="0">
      <w:start w:val="1"/>
      <w:numFmt w:val="decimal"/>
      <w:lvlText w:val="%1.%2.%3."/>
      <w:lvlJc w:val="left"/>
      <w:pPr>
        <w:ind w:left="0" w:firstLine="0"/>
      </w:pPr>
      <w:rPr>
        <w:rFonts w:hint="default"/>
      </w:rPr>
    </w:lvl>
    <w:lvl w:ilvl="3" w:tentative="0">
      <w:start w:val="1"/>
      <w:numFmt w:val="decimal"/>
      <w:lvlText w:val="%1.%2.%3.%4."/>
      <w:lvlJc w:val="left"/>
      <w:pPr>
        <w:ind w:left="0" w:firstLine="0"/>
      </w:pPr>
      <w:rPr>
        <w:rFonts w:hint="default"/>
      </w:rPr>
    </w:lvl>
    <w:lvl w:ilvl="4" w:tentative="0">
      <w:start w:val="1"/>
      <w:numFmt w:val="decimal"/>
      <w:lvlText w:val="%1.%2.%3.%4.%5."/>
      <w:lvlJc w:val="left"/>
      <w:pPr>
        <w:ind w:left="0" w:firstLine="0"/>
      </w:pPr>
      <w:rPr>
        <w:rFonts w:hint="default"/>
      </w:rPr>
    </w:lvl>
    <w:lvl w:ilvl="5" w:tentative="0">
      <w:start w:val="1"/>
      <w:numFmt w:val="decimal"/>
      <w:lvlText w:val="%1.%2.%3.%4.%5.%6."/>
      <w:lvlJc w:val="left"/>
      <w:pPr>
        <w:ind w:left="0" w:firstLine="0"/>
      </w:pPr>
      <w:rPr>
        <w:rFonts w:hint="default"/>
      </w:rPr>
    </w:lvl>
    <w:lvl w:ilvl="6" w:tentative="0">
      <w:start w:val="1"/>
      <w:numFmt w:val="decimal"/>
      <w:lvlText w:val="%1.%2.%3.%4.%5.%6.%7."/>
      <w:lvlJc w:val="left"/>
      <w:pPr>
        <w:ind w:left="0" w:firstLine="0"/>
      </w:pPr>
      <w:rPr>
        <w:rFonts w:hint="default"/>
      </w:rPr>
    </w:lvl>
    <w:lvl w:ilvl="7" w:tentative="0">
      <w:start w:val="1"/>
      <w:numFmt w:val="decimal"/>
      <w:lvlText w:val="%1.%2.%3.%4.%5.%6.%7.%8."/>
      <w:lvlJc w:val="left"/>
      <w:pPr>
        <w:ind w:left="0" w:firstLine="0"/>
      </w:pPr>
      <w:rPr>
        <w:rFonts w:hint="default"/>
      </w:rPr>
    </w:lvl>
    <w:lvl w:ilvl="8" w:tentative="0">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71"/>
    <w:rsid w:val="0000112B"/>
    <w:rsid w:val="0000353A"/>
    <w:rsid w:val="00006F24"/>
    <w:rsid w:val="00020008"/>
    <w:rsid w:val="0003300D"/>
    <w:rsid w:val="00034C36"/>
    <w:rsid w:val="00042035"/>
    <w:rsid w:val="000469CC"/>
    <w:rsid w:val="000604D2"/>
    <w:rsid w:val="000638F5"/>
    <w:rsid w:val="00065D72"/>
    <w:rsid w:val="00066D5D"/>
    <w:rsid w:val="0007273C"/>
    <w:rsid w:val="00074BC2"/>
    <w:rsid w:val="000803C0"/>
    <w:rsid w:val="0008623D"/>
    <w:rsid w:val="00086FF7"/>
    <w:rsid w:val="00096E65"/>
    <w:rsid w:val="000A58A8"/>
    <w:rsid w:val="000C1A20"/>
    <w:rsid w:val="00116097"/>
    <w:rsid w:val="00116EF1"/>
    <w:rsid w:val="00125013"/>
    <w:rsid w:val="00131D42"/>
    <w:rsid w:val="001445B1"/>
    <w:rsid w:val="00147D8E"/>
    <w:rsid w:val="0015052F"/>
    <w:rsid w:val="00150D82"/>
    <w:rsid w:val="00163408"/>
    <w:rsid w:val="00164B04"/>
    <w:rsid w:val="001711EE"/>
    <w:rsid w:val="00181459"/>
    <w:rsid w:val="00186830"/>
    <w:rsid w:val="00192961"/>
    <w:rsid w:val="00196034"/>
    <w:rsid w:val="001A7402"/>
    <w:rsid w:val="001C4F64"/>
    <w:rsid w:val="001D71AA"/>
    <w:rsid w:val="001D7BAC"/>
    <w:rsid w:val="001F3BC4"/>
    <w:rsid w:val="001F69EE"/>
    <w:rsid w:val="00200A4C"/>
    <w:rsid w:val="002022DD"/>
    <w:rsid w:val="00203DD0"/>
    <w:rsid w:val="0021284C"/>
    <w:rsid w:val="00221C8C"/>
    <w:rsid w:val="0023391C"/>
    <w:rsid w:val="00236DFE"/>
    <w:rsid w:val="0025065D"/>
    <w:rsid w:val="002526B6"/>
    <w:rsid w:val="0025396C"/>
    <w:rsid w:val="00260146"/>
    <w:rsid w:val="002731C1"/>
    <w:rsid w:val="00275B8E"/>
    <w:rsid w:val="0028646D"/>
    <w:rsid w:val="00287266"/>
    <w:rsid w:val="00293031"/>
    <w:rsid w:val="00294EC1"/>
    <w:rsid w:val="002A0D99"/>
    <w:rsid w:val="002A414F"/>
    <w:rsid w:val="002C03E4"/>
    <w:rsid w:val="002C528A"/>
    <w:rsid w:val="002C7E00"/>
    <w:rsid w:val="002D44B3"/>
    <w:rsid w:val="002E2289"/>
    <w:rsid w:val="002E4AB0"/>
    <w:rsid w:val="0030342B"/>
    <w:rsid w:val="00305675"/>
    <w:rsid w:val="00305B39"/>
    <w:rsid w:val="003104C4"/>
    <w:rsid w:val="00314039"/>
    <w:rsid w:val="003167FA"/>
    <w:rsid w:val="00320768"/>
    <w:rsid w:val="00321686"/>
    <w:rsid w:val="0032418B"/>
    <w:rsid w:val="00326287"/>
    <w:rsid w:val="00342F94"/>
    <w:rsid w:val="0034310B"/>
    <w:rsid w:val="003431E8"/>
    <w:rsid w:val="003504F1"/>
    <w:rsid w:val="0036092D"/>
    <w:rsid w:val="00361550"/>
    <w:rsid w:val="00361FAE"/>
    <w:rsid w:val="0038334A"/>
    <w:rsid w:val="00384BB2"/>
    <w:rsid w:val="003858FD"/>
    <w:rsid w:val="0038703E"/>
    <w:rsid w:val="00387E39"/>
    <w:rsid w:val="003A04AC"/>
    <w:rsid w:val="003A0EF6"/>
    <w:rsid w:val="003A3C46"/>
    <w:rsid w:val="003A5BB6"/>
    <w:rsid w:val="003A7397"/>
    <w:rsid w:val="003B0E05"/>
    <w:rsid w:val="003B3257"/>
    <w:rsid w:val="003B5BDA"/>
    <w:rsid w:val="003B7012"/>
    <w:rsid w:val="003C695E"/>
    <w:rsid w:val="003C6AA1"/>
    <w:rsid w:val="003D65D9"/>
    <w:rsid w:val="003E0B35"/>
    <w:rsid w:val="003F1CDF"/>
    <w:rsid w:val="003F412A"/>
    <w:rsid w:val="00405CE3"/>
    <w:rsid w:val="00413112"/>
    <w:rsid w:val="004258F4"/>
    <w:rsid w:val="00426A0D"/>
    <w:rsid w:val="00427D42"/>
    <w:rsid w:val="004308C5"/>
    <w:rsid w:val="00430D75"/>
    <w:rsid w:val="004312EB"/>
    <w:rsid w:val="00436946"/>
    <w:rsid w:val="00450B95"/>
    <w:rsid w:val="00451EF0"/>
    <w:rsid w:val="00461E56"/>
    <w:rsid w:val="004647BC"/>
    <w:rsid w:val="004722C1"/>
    <w:rsid w:val="00484DA7"/>
    <w:rsid w:val="004869A6"/>
    <w:rsid w:val="00493B6D"/>
    <w:rsid w:val="004A22A5"/>
    <w:rsid w:val="004A2A68"/>
    <w:rsid w:val="004B4302"/>
    <w:rsid w:val="004B7618"/>
    <w:rsid w:val="004C797A"/>
    <w:rsid w:val="004D2B4D"/>
    <w:rsid w:val="004D3626"/>
    <w:rsid w:val="004D4823"/>
    <w:rsid w:val="004F0F4D"/>
    <w:rsid w:val="004F1461"/>
    <w:rsid w:val="00511850"/>
    <w:rsid w:val="00511E4C"/>
    <w:rsid w:val="005127BF"/>
    <w:rsid w:val="005169CE"/>
    <w:rsid w:val="00516F78"/>
    <w:rsid w:val="005219E7"/>
    <w:rsid w:val="005365BF"/>
    <w:rsid w:val="00536870"/>
    <w:rsid w:val="0054192A"/>
    <w:rsid w:val="005429A1"/>
    <w:rsid w:val="00543D53"/>
    <w:rsid w:val="00546CF8"/>
    <w:rsid w:val="00555CA2"/>
    <w:rsid w:val="005668C2"/>
    <w:rsid w:val="0058225E"/>
    <w:rsid w:val="00583ABD"/>
    <w:rsid w:val="005928D3"/>
    <w:rsid w:val="00594406"/>
    <w:rsid w:val="00596D77"/>
    <w:rsid w:val="005B084E"/>
    <w:rsid w:val="005B1A49"/>
    <w:rsid w:val="005B240E"/>
    <w:rsid w:val="005B25BC"/>
    <w:rsid w:val="005B3D4D"/>
    <w:rsid w:val="005B56F1"/>
    <w:rsid w:val="005C7037"/>
    <w:rsid w:val="005E0432"/>
    <w:rsid w:val="005E3383"/>
    <w:rsid w:val="005E39A3"/>
    <w:rsid w:val="005E58F8"/>
    <w:rsid w:val="005F22D7"/>
    <w:rsid w:val="005F6F72"/>
    <w:rsid w:val="005F6F8F"/>
    <w:rsid w:val="005F70E8"/>
    <w:rsid w:val="005F7EC6"/>
    <w:rsid w:val="00600F2A"/>
    <w:rsid w:val="0060141D"/>
    <w:rsid w:val="006026CA"/>
    <w:rsid w:val="00603839"/>
    <w:rsid w:val="00606779"/>
    <w:rsid w:val="00614F70"/>
    <w:rsid w:val="00617749"/>
    <w:rsid w:val="00622D22"/>
    <w:rsid w:val="0063074C"/>
    <w:rsid w:val="0064212C"/>
    <w:rsid w:val="0064332B"/>
    <w:rsid w:val="00664D41"/>
    <w:rsid w:val="00667EB5"/>
    <w:rsid w:val="00673B0C"/>
    <w:rsid w:val="00676638"/>
    <w:rsid w:val="00683FD8"/>
    <w:rsid w:val="006918D8"/>
    <w:rsid w:val="006A1C27"/>
    <w:rsid w:val="006B38ED"/>
    <w:rsid w:val="006B3A50"/>
    <w:rsid w:val="006B7892"/>
    <w:rsid w:val="006C2FC6"/>
    <w:rsid w:val="006D19E0"/>
    <w:rsid w:val="006D46BA"/>
    <w:rsid w:val="006D4D66"/>
    <w:rsid w:val="006D60FF"/>
    <w:rsid w:val="006E15CF"/>
    <w:rsid w:val="006E23D9"/>
    <w:rsid w:val="006F692B"/>
    <w:rsid w:val="007174DE"/>
    <w:rsid w:val="00722502"/>
    <w:rsid w:val="0074524F"/>
    <w:rsid w:val="00763338"/>
    <w:rsid w:val="00764F5A"/>
    <w:rsid w:val="00770A6C"/>
    <w:rsid w:val="007830ED"/>
    <w:rsid w:val="0078491B"/>
    <w:rsid w:val="00790326"/>
    <w:rsid w:val="00794977"/>
    <w:rsid w:val="007A0A0D"/>
    <w:rsid w:val="007A3DE8"/>
    <w:rsid w:val="007A7135"/>
    <w:rsid w:val="007B6F51"/>
    <w:rsid w:val="007C0CD3"/>
    <w:rsid w:val="007C64B6"/>
    <w:rsid w:val="007D1774"/>
    <w:rsid w:val="007E02CE"/>
    <w:rsid w:val="007E2FD9"/>
    <w:rsid w:val="007E65A2"/>
    <w:rsid w:val="007F22A6"/>
    <w:rsid w:val="00810803"/>
    <w:rsid w:val="00833A8B"/>
    <w:rsid w:val="00834516"/>
    <w:rsid w:val="00844F37"/>
    <w:rsid w:val="00845ACB"/>
    <w:rsid w:val="00850DFF"/>
    <w:rsid w:val="00854200"/>
    <w:rsid w:val="008571C7"/>
    <w:rsid w:val="008712F6"/>
    <w:rsid w:val="008815DF"/>
    <w:rsid w:val="00893EAD"/>
    <w:rsid w:val="00896DD1"/>
    <w:rsid w:val="008A204F"/>
    <w:rsid w:val="008A3571"/>
    <w:rsid w:val="008B0D37"/>
    <w:rsid w:val="008B0EAB"/>
    <w:rsid w:val="008C576B"/>
    <w:rsid w:val="008C5FAF"/>
    <w:rsid w:val="008D791C"/>
    <w:rsid w:val="008E4102"/>
    <w:rsid w:val="008E5A93"/>
    <w:rsid w:val="008E5B04"/>
    <w:rsid w:val="008E6CBB"/>
    <w:rsid w:val="008F4C2B"/>
    <w:rsid w:val="008F7801"/>
    <w:rsid w:val="009069FA"/>
    <w:rsid w:val="0091305D"/>
    <w:rsid w:val="00917EFE"/>
    <w:rsid w:val="0092065A"/>
    <w:rsid w:val="0092682B"/>
    <w:rsid w:val="009427B2"/>
    <w:rsid w:val="00947755"/>
    <w:rsid w:val="00961BD9"/>
    <w:rsid w:val="00984CE0"/>
    <w:rsid w:val="00991D6F"/>
    <w:rsid w:val="009C1F16"/>
    <w:rsid w:val="009C2CC8"/>
    <w:rsid w:val="009C2DA9"/>
    <w:rsid w:val="009C67B1"/>
    <w:rsid w:val="009C7982"/>
    <w:rsid w:val="009D005B"/>
    <w:rsid w:val="009E0460"/>
    <w:rsid w:val="009E18B0"/>
    <w:rsid w:val="009E21E9"/>
    <w:rsid w:val="00A004D2"/>
    <w:rsid w:val="00A03215"/>
    <w:rsid w:val="00A068ED"/>
    <w:rsid w:val="00A12FE4"/>
    <w:rsid w:val="00A245ED"/>
    <w:rsid w:val="00A26CC3"/>
    <w:rsid w:val="00A300F6"/>
    <w:rsid w:val="00A33B86"/>
    <w:rsid w:val="00A34C1C"/>
    <w:rsid w:val="00A353B3"/>
    <w:rsid w:val="00A41604"/>
    <w:rsid w:val="00A50722"/>
    <w:rsid w:val="00A52C16"/>
    <w:rsid w:val="00A71218"/>
    <w:rsid w:val="00A91E78"/>
    <w:rsid w:val="00A9434A"/>
    <w:rsid w:val="00A94AA9"/>
    <w:rsid w:val="00AA2A90"/>
    <w:rsid w:val="00AB0D76"/>
    <w:rsid w:val="00AB1A89"/>
    <w:rsid w:val="00AB37B6"/>
    <w:rsid w:val="00AD4B9D"/>
    <w:rsid w:val="00AD4E51"/>
    <w:rsid w:val="00AE02E0"/>
    <w:rsid w:val="00AE23A6"/>
    <w:rsid w:val="00AE48CC"/>
    <w:rsid w:val="00AF4970"/>
    <w:rsid w:val="00AF4AC7"/>
    <w:rsid w:val="00B12F16"/>
    <w:rsid w:val="00B17D1F"/>
    <w:rsid w:val="00B2428D"/>
    <w:rsid w:val="00B25F7E"/>
    <w:rsid w:val="00B26445"/>
    <w:rsid w:val="00B50341"/>
    <w:rsid w:val="00B52BD2"/>
    <w:rsid w:val="00B556B4"/>
    <w:rsid w:val="00B57CA8"/>
    <w:rsid w:val="00B611C9"/>
    <w:rsid w:val="00B703AA"/>
    <w:rsid w:val="00BB24D6"/>
    <w:rsid w:val="00BB2DE9"/>
    <w:rsid w:val="00BB7DC8"/>
    <w:rsid w:val="00BC0874"/>
    <w:rsid w:val="00BC7919"/>
    <w:rsid w:val="00BD48E3"/>
    <w:rsid w:val="00BD5D98"/>
    <w:rsid w:val="00BE5F3D"/>
    <w:rsid w:val="00BF00BB"/>
    <w:rsid w:val="00C07AF2"/>
    <w:rsid w:val="00C1070D"/>
    <w:rsid w:val="00C128AB"/>
    <w:rsid w:val="00C2074C"/>
    <w:rsid w:val="00C276AD"/>
    <w:rsid w:val="00C27B34"/>
    <w:rsid w:val="00C27F2D"/>
    <w:rsid w:val="00C37911"/>
    <w:rsid w:val="00C45818"/>
    <w:rsid w:val="00C75134"/>
    <w:rsid w:val="00C753CF"/>
    <w:rsid w:val="00C7666C"/>
    <w:rsid w:val="00C771C5"/>
    <w:rsid w:val="00C80358"/>
    <w:rsid w:val="00C86501"/>
    <w:rsid w:val="00C912CB"/>
    <w:rsid w:val="00C94CA3"/>
    <w:rsid w:val="00C97822"/>
    <w:rsid w:val="00CA5871"/>
    <w:rsid w:val="00CB1891"/>
    <w:rsid w:val="00CC62D2"/>
    <w:rsid w:val="00CD0C68"/>
    <w:rsid w:val="00CE154B"/>
    <w:rsid w:val="00CE4EAE"/>
    <w:rsid w:val="00CF146D"/>
    <w:rsid w:val="00D00742"/>
    <w:rsid w:val="00D17AF1"/>
    <w:rsid w:val="00D26E19"/>
    <w:rsid w:val="00D30D1C"/>
    <w:rsid w:val="00D42FFA"/>
    <w:rsid w:val="00D45D1A"/>
    <w:rsid w:val="00D51D54"/>
    <w:rsid w:val="00D52952"/>
    <w:rsid w:val="00D55609"/>
    <w:rsid w:val="00D55AFF"/>
    <w:rsid w:val="00D60EE5"/>
    <w:rsid w:val="00D70370"/>
    <w:rsid w:val="00D74414"/>
    <w:rsid w:val="00D76CF3"/>
    <w:rsid w:val="00D777D1"/>
    <w:rsid w:val="00D77E3F"/>
    <w:rsid w:val="00D8487D"/>
    <w:rsid w:val="00D910EF"/>
    <w:rsid w:val="00D92309"/>
    <w:rsid w:val="00DA3825"/>
    <w:rsid w:val="00DB252E"/>
    <w:rsid w:val="00DB6494"/>
    <w:rsid w:val="00DC3F0D"/>
    <w:rsid w:val="00DC61B7"/>
    <w:rsid w:val="00DD2F90"/>
    <w:rsid w:val="00DE46A6"/>
    <w:rsid w:val="00DE525A"/>
    <w:rsid w:val="00E05735"/>
    <w:rsid w:val="00E071DB"/>
    <w:rsid w:val="00E07F64"/>
    <w:rsid w:val="00E14C0B"/>
    <w:rsid w:val="00E2320B"/>
    <w:rsid w:val="00E32651"/>
    <w:rsid w:val="00E37B89"/>
    <w:rsid w:val="00E40AAA"/>
    <w:rsid w:val="00E44170"/>
    <w:rsid w:val="00E4511C"/>
    <w:rsid w:val="00E51FCC"/>
    <w:rsid w:val="00E56300"/>
    <w:rsid w:val="00E87C02"/>
    <w:rsid w:val="00E93085"/>
    <w:rsid w:val="00E9311A"/>
    <w:rsid w:val="00E94371"/>
    <w:rsid w:val="00E97DEC"/>
    <w:rsid w:val="00EA2971"/>
    <w:rsid w:val="00EB144D"/>
    <w:rsid w:val="00EB4A94"/>
    <w:rsid w:val="00EB5F45"/>
    <w:rsid w:val="00EC7D3E"/>
    <w:rsid w:val="00ED2F9B"/>
    <w:rsid w:val="00ED40A0"/>
    <w:rsid w:val="00ED5055"/>
    <w:rsid w:val="00ED5A7D"/>
    <w:rsid w:val="00EE2900"/>
    <w:rsid w:val="00EE7FAC"/>
    <w:rsid w:val="00EF790C"/>
    <w:rsid w:val="00EF7C4D"/>
    <w:rsid w:val="00F04FF0"/>
    <w:rsid w:val="00F12098"/>
    <w:rsid w:val="00F1332C"/>
    <w:rsid w:val="00F161A4"/>
    <w:rsid w:val="00F25071"/>
    <w:rsid w:val="00F3298A"/>
    <w:rsid w:val="00F5517A"/>
    <w:rsid w:val="00F56E97"/>
    <w:rsid w:val="00F65847"/>
    <w:rsid w:val="00F75AD1"/>
    <w:rsid w:val="00F82B06"/>
    <w:rsid w:val="00F83E43"/>
    <w:rsid w:val="00FA7EFB"/>
    <w:rsid w:val="00FB0A4F"/>
    <w:rsid w:val="00FB614B"/>
    <w:rsid w:val="00FB66FD"/>
    <w:rsid w:val="00FC4688"/>
    <w:rsid w:val="00FC5BE2"/>
    <w:rsid w:val="00FD2B87"/>
    <w:rsid w:val="00FD315B"/>
    <w:rsid w:val="00FD640F"/>
    <w:rsid w:val="00FF1615"/>
    <w:rsid w:val="25931B26"/>
    <w:rsid w:val="3126D290"/>
    <w:rsid w:val="3A0D6ECE"/>
    <w:rsid w:val="3AC272C3"/>
    <w:rsid w:val="6C2C4B5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link w:val="31"/>
    <w:semiHidden/>
    <w:unhideWhenUsed/>
    <w:qFormat/>
    <w:uiPriority w:val="0"/>
    <w:pPr>
      <w:keepNext/>
      <w:spacing w:before="240" w:after="60"/>
      <w:outlineLvl w:val="1"/>
    </w:pPr>
    <w:rPr>
      <w:rFonts w:ascii="Calibri Light" w:hAnsi="Calibri Light"/>
      <w:b/>
      <w:bCs/>
      <w:i/>
      <w:iCs/>
      <w:sz w:val="28"/>
      <w:szCs w:val="28"/>
    </w:rPr>
  </w:style>
  <w:style w:type="paragraph" w:styleId="3">
    <w:name w:val="heading 3"/>
    <w:basedOn w:val="1"/>
    <w:next w:val="1"/>
    <w:qFormat/>
    <w:uiPriority w:val="0"/>
    <w:pPr>
      <w:keepNext/>
      <w:tabs>
        <w:tab w:val="left" w:pos="540"/>
      </w:tabs>
      <w:ind w:left="540"/>
      <w:jc w:val="center"/>
      <w:outlineLvl w:val="2"/>
    </w:pPr>
    <w:rPr>
      <w:b/>
      <w:lang w:val="lt-LT" w:eastAsia="lt-LT"/>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character" w:styleId="7">
    <w:name w:val="annotation reference"/>
    <w:qFormat/>
    <w:uiPriority w:val="0"/>
    <w:rPr>
      <w:sz w:val="16"/>
      <w:szCs w:val="16"/>
    </w:rPr>
  </w:style>
  <w:style w:type="paragraph" w:styleId="8">
    <w:name w:val="annotation text"/>
    <w:basedOn w:val="1"/>
    <w:link w:val="26"/>
    <w:qFormat/>
    <w:uiPriority w:val="0"/>
    <w:rPr>
      <w:sz w:val="20"/>
      <w:szCs w:val="20"/>
    </w:rPr>
  </w:style>
  <w:style w:type="paragraph" w:styleId="9">
    <w:name w:val="annotation subject"/>
    <w:basedOn w:val="8"/>
    <w:next w:val="8"/>
    <w:link w:val="27"/>
    <w:qFormat/>
    <w:uiPriority w:val="0"/>
    <w:rPr>
      <w:b/>
      <w:bCs/>
    </w:rPr>
  </w:style>
  <w:style w:type="paragraph" w:styleId="10">
    <w:name w:val="Date"/>
    <w:basedOn w:val="1"/>
    <w:next w:val="1"/>
    <w:qFormat/>
    <w:uiPriority w:val="0"/>
  </w:style>
  <w:style w:type="character" w:styleId="11">
    <w:name w:val="Emphasis"/>
    <w:qFormat/>
    <w:uiPriority w:val="0"/>
    <w:rPr>
      <w:i/>
      <w:iCs/>
    </w:rPr>
  </w:style>
  <w:style w:type="paragraph" w:styleId="12">
    <w:name w:val="footer"/>
    <w:basedOn w:val="1"/>
    <w:uiPriority w:val="0"/>
    <w:pPr>
      <w:tabs>
        <w:tab w:val="center" w:pos="4320"/>
        <w:tab w:val="right" w:pos="8640"/>
      </w:tabs>
    </w:pPr>
  </w:style>
  <w:style w:type="paragraph" w:styleId="13">
    <w:name w:val="header"/>
    <w:basedOn w:val="1"/>
    <w:link w:val="24"/>
    <w:qFormat/>
    <w:uiPriority w:val="99"/>
    <w:pPr>
      <w:tabs>
        <w:tab w:val="center" w:pos="4819"/>
        <w:tab w:val="right" w:pos="9638"/>
      </w:tabs>
    </w:pPr>
  </w:style>
  <w:style w:type="paragraph" w:styleId="14">
    <w:name w:val="List 2"/>
    <w:basedOn w:val="1"/>
    <w:qFormat/>
    <w:uiPriority w:val="0"/>
    <w:pPr>
      <w:ind w:left="566" w:hanging="283"/>
    </w:pPr>
  </w:style>
  <w:style w:type="paragraph" w:styleId="15">
    <w:name w:val="List Continue 3"/>
    <w:basedOn w:val="1"/>
    <w:qFormat/>
    <w:uiPriority w:val="0"/>
    <w:pPr>
      <w:spacing w:after="120"/>
      <w:ind w:left="849"/>
    </w:pPr>
  </w:style>
  <w:style w:type="paragraph" w:styleId="16">
    <w:name w:val="Normal (Web)"/>
    <w:basedOn w:val="1"/>
    <w:uiPriority w:val="0"/>
    <w:pPr>
      <w:spacing w:before="100" w:beforeAutospacing="1" w:after="100" w:afterAutospacing="1"/>
    </w:pPr>
    <w:rPr>
      <w:rFonts w:ascii="Verdana" w:hAnsi="Verdana" w:eastAsia="SimSun"/>
      <w:sz w:val="18"/>
      <w:szCs w:val="18"/>
      <w:lang w:val="lt-LT" w:eastAsia="zh-CN"/>
    </w:rPr>
  </w:style>
  <w:style w:type="character" w:styleId="17">
    <w:name w:val="page number"/>
    <w:basedOn w:val="4"/>
    <w:uiPriority w:val="0"/>
  </w:style>
  <w:style w:type="character" w:styleId="18">
    <w:name w:val="Strong"/>
    <w:qFormat/>
    <w:uiPriority w:val="22"/>
    <w:rPr>
      <w:b/>
      <w:bCs/>
    </w:rPr>
  </w:style>
  <w:style w:type="table" w:styleId="19">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Style1"/>
    <w:basedOn w:val="1"/>
    <w:qFormat/>
    <w:uiPriority w:val="0"/>
    <w:rPr>
      <w:szCs w:val="20"/>
      <w:lang w:val="lt-LT" w:eastAsia="lt-LT"/>
    </w:rPr>
  </w:style>
  <w:style w:type="paragraph" w:customStyle="1" w:styleId="21">
    <w:name w:val="Char"/>
    <w:basedOn w:val="1"/>
    <w:uiPriority w:val="0"/>
    <w:pPr>
      <w:spacing w:after="160" w:line="240" w:lineRule="exact"/>
    </w:pPr>
    <w:rPr>
      <w:rFonts w:ascii="Tahoma" w:hAnsi="Tahoma"/>
      <w:sz w:val="20"/>
      <w:szCs w:val="20"/>
    </w:rPr>
  </w:style>
  <w:style w:type="paragraph" w:customStyle="1" w:styleId="22">
    <w:name w:val="Char Char Diagrama Diagrama Char Char"/>
    <w:basedOn w:val="1"/>
    <w:qFormat/>
    <w:uiPriority w:val="0"/>
    <w:pPr>
      <w:widowControl w:val="0"/>
      <w:adjustRightInd w:val="0"/>
      <w:spacing w:after="160" w:line="240" w:lineRule="exact"/>
      <w:jc w:val="both"/>
      <w:textAlignment w:val="baseline"/>
    </w:pPr>
    <w:rPr>
      <w:rFonts w:ascii="Tahoma" w:hAnsi="Tahoma"/>
      <w:sz w:val="20"/>
      <w:szCs w:val="20"/>
    </w:rPr>
  </w:style>
  <w:style w:type="paragraph" w:customStyle="1" w:styleId="23">
    <w:name w:val="Diagrama"/>
    <w:basedOn w:val="1"/>
    <w:qFormat/>
    <w:uiPriority w:val="0"/>
    <w:pPr>
      <w:spacing w:after="160" w:line="240" w:lineRule="exact"/>
    </w:pPr>
    <w:rPr>
      <w:rFonts w:ascii="Tahoma" w:hAnsi="Tahoma"/>
      <w:sz w:val="20"/>
      <w:szCs w:val="20"/>
    </w:rPr>
  </w:style>
  <w:style w:type="character" w:customStyle="1" w:styleId="24">
    <w:name w:val="Antraštės Diagrama"/>
    <w:link w:val="13"/>
    <w:qFormat/>
    <w:uiPriority w:val="99"/>
    <w:rPr>
      <w:sz w:val="24"/>
      <w:szCs w:val="24"/>
      <w:lang w:val="en-US" w:eastAsia="en-US"/>
    </w:rPr>
  </w:style>
  <w:style w:type="character" w:customStyle="1" w:styleId="25">
    <w:name w:val="content_item"/>
    <w:basedOn w:val="4"/>
    <w:qFormat/>
    <w:uiPriority w:val="0"/>
  </w:style>
  <w:style w:type="character" w:customStyle="1" w:styleId="26">
    <w:name w:val="Komentaro tekstas Diagrama"/>
    <w:link w:val="8"/>
    <w:qFormat/>
    <w:uiPriority w:val="0"/>
    <w:rPr>
      <w:lang w:val="en-US" w:eastAsia="en-US"/>
    </w:rPr>
  </w:style>
  <w:style w:type="character" w:customStyle="1" w:styleId="27">
    <w:name w:val="Komentaro tema Diagrama"/>
    <w:link w:val="9"/>
    <w:qFormat/>
    <w:uiPriority w:val="0"/>
    <w:rPr>
      <w:b/>
      <w:bCs/>
      <w:lang w:val="en-US" w:eastAsia="en-US"/>
    </w:rPr>
  </w:style>
  <w:style w:type="paragraph" w:customStyle="1" w:styleId="28">
    <w:name w:val="Punktai"/>
    <w:basedOn w:val="29"/>
    <w:link w:val="30"/>
    <w:qFormat/>
    <w:uiPriority w:val="0"/>
    <w:pPr>
      <w:numPr>
        <w:ilvl w:val="0"/>
        <w:numId w:val="1"/>
      </w:numPr>
      <w:tabs>
        <w:tab w:val="left" w:pos="1304"/>
      </w:tabs>
      <w:spacing w:after="120"/>
      <w:ind w:left="0" w:firstLine="709"/>
      <w:jc w:val="both"/>
    </w:pPr>
    <w:rPr>
      <w:rFonts w:eastAsia="Calibri"/>
      <w:lang w:val="lt-LT" w:eastAsia="en-GB"/>
    </w:rPr>
  </w:style>
  <w:style w:type="paragraph" w:styleId="29">
    <w:name w:val="List Paragraph"/>
    <w:basedOn w:val="1"/>
    <w:qFormat/>
    <w:uiPriority w:val="34"/>
    <w:pPr>
      <w:ind w:left="1296"/>
    </w:pPr>
  </w:style>
  <w:style w:type="character" w:customStyle="1" w:styleId="30">
    <w:name w:val="Punktai Diagrama"/>
    <w:link w:val="28"/>
    <w:qFormat/>
    <w:uiPriority w:val="0"/>
    <w:rPr>
      <w:rFonts w:eastAsia="Calibri"/>
      <w:sz w:val="24"/>
      <w:szCs w:val="24"/>
      <w:lang w:eastAsia="en-GB"/>
    </w:rPr>
  </w:style>
  <w:style w:type="character" w:customStyle="1" w:styleId="31">
    <w:name w:val="Antraštė 2 Diagrama"/>
    <w:link w:val="2"/>
    <w:semiHidden/>
    <w:qFormat/>
    <w:uiPriority w:val="0"/>
    <w:rPr>
      <w:rFonts w:ascii="Calibri Light" w:hAnsi="Calibri Light" w:eastAsia="Times New Roman" w:cs="Times New Roman"/>
      <w:b/>
      <w:bCs/>
      <w:i/>
      <w:iCs/>
      <w:sz w:val="28"/>
      <w:szCs w:val="28"/>
      <w:lang w:val="en-US" w:eastAsia="en-US"/>
    </w:rPr>
  </w:style>
  <w:style w:type="paragraph" w:customStyle="1" w:styleId="32">
    <w:name w:val="yiv7621467398msonormal"/>
    <w:basedOn w:val="1"/>
    <w:qFormat/>
    <w:uiPriority w:val="0"/>
    <w:pPr>
      <w:spacing w:before="100" w:beforeAutospacing="1" w:after="100" w:afterAutospacing="1"/>
    </w:pPr>
    <w:rPr>
      <w:lang w:val="lt-LT" w:eastAsia="lt-LT"/>
    </w:rPr>
  </w:style>
  <w:style w:type="paragraph" w:customStyle="1" w:styleId="33">
    <w:name w:val="Revision"/>
    <w:hidden/>
    <w:semiHidden/>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75669f8093d11231b4b96b5f8e63d0d">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430d67a6014ba67b9de6dbba49e9a425"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Props1.xml><?xml version="1.0" encoding="utf-8"?>
<ds:datastoreItem xmlns:ds="http://schemas.openxmlformats.org/officeDocument/2006/customXml" ds:itemID="{62D98D22-F92E-4882-B90D-A5B9AD69B7ED}">
  <ds:schemaRefs/>
</ds:datastoreItem>
</file>

<file path=customXml/itemProps2.xml><?xml version="1.0" encoding="utf-8"?>
<ds:datastoreItem xmlns:ds="http://schemas.openxmlformats.org/officeDocument/2006/customXml" ds:itemID="{CD43ED41-FA9C-49C8-B0A0-CB6B2F885041}">
  <ds:schemaRefs/>
</ds:datastoreItem>
</file>

<file path=customXml/itemProps3.xml><?xml version="1.0" encoding="utf-8"?>
<ds:datastoreItem xmlns:ds="http://schemas.openxmlformats.org/officeDocument/2006/customXml" ds:itemID="{C2011258-4DAB-432A-876A-0798EBB9FA1A}">
  <ds:schemaRefs/>
</ds:datastoreItem>
</file>

<file path=customXml/itemProps4.xml><?xml version="1.0" encoding="utf-8"?>
<ds:datastoreItem xmlns:ds="http://schemas.openxmlformats.org/officeDocument/2006/customXml" ds:itemID="{A19C72D0-00D9-429A-B9C1-BA4EFF9300A4}">
  <ds:schemaRefs/>
</ds:datastoreItem>
</file>

<file path=docProps/app.xml><?xml version="1.0" encoding="utf-8"?>
<Properties xmlns="http://schemas.openxmlformats.org/officeDocument/2006/extended-properties" xmlns:vt="http://schemas.openxmlformats.org/officeDocument/2006/docPropsVTypes">
  <Template>Normal</Template>
  <Pages>4</Pages>
  <Words>5350</Words>
  <Characters>3051</Characters>
  <Lines>25</Lines>
  <Paragraphs>16</Paragraphs>
  <TotalTime>0</TotalTime>
  <ScaleCrop>false</ScaleCrop>
  <LinksUpToDate>false</LinksUpToDate>
  <CharactersWithSpaces>8385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2025-01-23T09:44:00Z</dcterms:created>
  <dc:creator>IndreA</dc:creator>
  <cp:lastModifiedBy>WPS_1680632850</cp:lastModifiedBy>
  <cp:lastPrinted>2009-04-06T06:59:00Z</cp:lastPrinted>
  <dcterms:modified xsi:type="dcterms:W3CDTF">2025-01-23T11:10:37Z</dcterms:modified>
  <dc:title>JUNGTINĖS VEIKLOS SUTARTIS Nr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y fmtid="{D5CDD505-2E9C-101B-9397-08002B2CF9AE}" pid="4" name="KSOProductBuildVer">
    <vt:lpwstr>1033-12.2.0.19805</vt:lpwstr>
  </property>
  <property fmtid="{D5CDD505-2E9C-101B-9397-08002B2CF9AE}" pid="5" name="ICV">
    <vt:lpwstr>AF73A016BEE145A1B5CB7CA1474B7E1E_13</vt:lpwstr>
  </property>
</Properties>
</file>