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E3BE" w14:textId="54339580" w:rsidR="00FB67EF" w:rsidRDefault="00E27BF5" w:rsidP="00EC5095">
      <w:pPr>
        <w:ind w:right="-431"/>
        <w:contextualSpacing/>
        <w:jc w:val="center"/>
        <w:rPr>
          <w:szCs w:val="24"/>
          <w:lang w:eastAsia="lt-LT"/>
        </w:rPr>
      </w:pPr>
      <w:r w:rsidRPr="00EC5095">
        <w:rPr>
          <w:b/>
          <w:noProof/>
          <w:szCs w:val="24"/>
          <w:lang w:eastAsia="lt-LT"/>
        </w:rPr>
        <w:drawing>
          <wp:inline distT="0" distB="0" distL="0" distR="0" wp14:anchorId="1D8A86A1" wp14:editId="33D6D84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1E263510" w14:textId="77777777" w:rsidR="00EC5095" w:rsidRPr="00EC5095" w:rsidRDefault="00EC5095" w:rsidP="00EC5095">
      <w:pPr>
        <w:ind w:right="-431"/>
        <w:contextualSpacing/>
        <w:jc w:val="center"/>
        <w:rPr>
          <w:szCs w:val="24"/>
          <w:lang w:eastAsia="lt-LT"/>
        </w:rPr>
      </w:pPr>
    </w:p>
    <w:p w14:paraId="28C5B9FB" w14:textId="77777777" w:rsidR="00FB67EF" w:rsidRPr="00EC5095" w:rsidRDefault="00001E58" w:rsidP="00EC5095">
      <w:pPr>
        <w:widowControl w:val="0"/>
        <w:suppressAutoHyphens/>
        <w:contextualSpacing/>
        <w:jc w:val="center"/>
        <w:rPr>
          <w:b/>
          <w:szCs w:val="24"/>
          <w:lang w:eastAsia="ar-SA"/>
        </w:rPr>
      </w:pPr>
      <w:r w:rsidRPr="00EC5095">
        <w:rPr>
          <w:b/>
          <w:szCs w:val="24"/>
          <w:lang w:eastAsia="ar-SA"/>
        </w:rPr>
        <w:t>KĖDAINIŲ RAJONO SAVIVALDYBĖS TARYBA</w:t>
      </w:r>
    </w:p>
    <w:p w14:paraId="447C9060" w14:textId="77777777" w:rsidR="00FB67EF" w:rsidRPr="00EC5095" w:rsidRDefault="00FB67EF" w:rsidP="00EC5095">
      <w:pPr>
        <w:widowControl w:val="0"/>
        <w:suppressAutoHyphens/>
        <w:contextualSpacing/>
        <w:jc w:val="right"/>
        <w:rPr>
          <w:rFonts w:eastAsia="Lucida Sans Unicode"/>
          <w:b/>
          <w:color w:val="000000"/>
          <w:szCs w:val="24"/>
          <w:lang w:eastAsia="ar-SA"/>
        </w:rPr>
      </w:pPr>
    </w:p>
    <w:p w14:paraId="79BB8392" w14:textId="77777777" w:rsidR="00FB67EF" w:rsidRPr="00EC5095" w:rsidRDefault="00001E58" w:rsidP="00EC5095">
      <w:pPr>
        <w:ind w:right="-431"/>
        <w:contextualSpacing/>
        <w:jc w:val="center"/>
        <w:rPr>
          <w:b/>
          <w:bCs/>
          <w:caps/>
          <w:szCs w:val="24"/>
          <w:lang w:eastAsia="lt-LT"/>
        </w:rPr>
      </w:pPr>
      <w:r w:rsidRPr="00EC5095">
        <w:rPr>
          <w:b/>
          <w:bCs/>
          <w:caps/>
          <w:szCs w:val="24"/>
          <w:lang w:eastAsia="lt-LT"/>
        </w:rPr>
        <w:t>SPRENDIMAS</w:t>
      </w:r>
    </w:p>
    <w:p w14:paraId="29B369EF" w14:textId="77777777" w:rsidR="00FB67EF" w:rsidRPr="00EC5095" w:rsidRDefault="00001E58" w:rsidP="00EC5095">
      <w:pPr>
        <w:widowControl w:val="0"/>
        <w:suppressAutoHyphens/>
        <w:contextualSpacing/>
        <w:jc w:val="center"/>
        <w:rPr>
          <w:b/>
          <w:szCs w:val="24"/>
          <w:lang w:eastAsia="lt-LT"/>
        </w:rPr>
      </w:pPr>
      <w:r w:rsidRPr="00EC5095">
        <w:rPr>
          <w:b/>
          <w:szCs w:val="24"/>
          <w:lang w:eastAsia="lt-LT"/>
        </w:rPr>
        <w:t>DĖL VALSTYBĖS TURTO NURAŠYMO</w:t>
      </w:r>
    </w:p>
    <w:p w14:paraId="62F3ACE5" w14:textId="77777777" w:rsidR="00FB67EF" w:rsidRPr="00EC5095" w:rsidRDefault="00FB67EF" w:rsidP="00EC5095">
      <w:pPr>
        <w:widowControl w:val="0"/>
        <w:suppressAutoHyphens/>
        <w:contextualSpacing/>
        <w:jc w:val="center"/>
        <w:rPr>
          <w:rFonts w:eastAsia="Lucida Sans Unicode"/>
          <w:b/>
          <w:color w:val="000000"/>
          <w:szCs w:val="24"/>
          <w:lang w:eastAsia="lt-LT"/>
        </w:rPr>
      </w:pPr>
    </w:p>
    <w:p w14:paraId="393CBA70" w14:textId="286E7C61" w:rsidR="00FB67EF" w:rsidRPr="00EC5095" w:rsidRDefault="00342FFC" w:rsidP="00EC5095">
      <w:pPr>
        <w:contextualSpacing/>
        <w:jc w:val="center"/>
        <w:rPr>
          <w:rFonts w:eastAsia="Lucida Sans Unicode"/>
          <w:color w:val="000000"/>
          <w:szCs w:val="24"/>
          <w:lang w:eastAsia="lt-LT"/>
        </w:rPr>
      </w:pPr>
      <w:r w:rsidRPr="00EC5095">
        <w:rPr>
          <w:rFonts w:eastAsia="Lucida Sans Unicode"/>
          <w:color w:val="000000"/>
          <w:szCs w:val="24"/>
          <w:lang w:eastAsia="lt-LT"/>
        </w:rPr>
        <w:t>202</w:t>
      </w:r>
      <w:r w:rsidR="00342073" w:rsidRPr="00EC5095">
        <w:rPr>
          <w:rFonts w:eastAsia="Lucida Sans Unicode"/>
          <w:color w:val="000000"/>
          <w:szCs w:val="24"/>
          <w:lang w:eastAsia="lt-LT"/>
        </w:rPr>
        <w:t>5</w:t>
      </w:r>
      <w:r w:rsidR="004A46B5" w:rsidRPr="00EC5095">
        <w:rPr>
          <w:rFonts w:eastAsia="Lucida Sans Unicode"/>
          <w:color w:val="000000"/>
          <w:szCs w:val="24"/>
          <w:lang w:eastAsia="lt-LT"/>
        </w:rPr>
        <w:t xml:space="preserve"> m.</w:t>
      </w:r>
      <w:r w:rsidR="003E0840" w:rsidRPr="00EC5095">
        <w:rPr>
          <w:rFonts w:eastAsia="Lucida Sans Unicode"/>
          <w:color w:val="000000"/>
          <w:szCs w:val="24"/>
          <w:lang w:eastAsia="lt-LT"/>
        </w:rPr>
        <w:t xml:space="preserve"> vasario</w:t>
      </w:r>
      <w:r w:rsidR="00EC5095">
        <w:rPr>
          <w:rFonts w:eastAsia="Lucida Sans Unicode"/>
          <w:color w:val="000000"/>
          <w:szCs w:val="24"/>
          <w:lang w:eastAsia="lt-LT"/>
        </w:rPr>
        <w:t xml:space="preserve"> </w:t>
      </w:r>
      <w:r w:rsidR="003861EF">
        <w:rPr>
          <w:rFonts w:eastAsia="Lucida Sans Unicode"/>
          <w:color w:val="000000"/>
          <w:szCs w:val="24"/>
          <w:lang w:eastAsia="lt-LT"/>
        </w:rPr>
        <w:t>21</w:t>
      </w:r>
      <w:r w:rsidR="00EC5095">
        <w:rPr>
          <w:rFonts w:eastAsia="Lucida Sans Unicode"/>
          <w:color w:val="000000"/>
          <w:szCs w:val="24"/>
          <w:lang w:eastAsia="lt-LT"/>
        </w:rPr>
        <w:t xml:space="preserve"> </w:t>
      </w:r>
      <w:r w:rsidR="004A46B5" w:rsidRPr="00EC5095">
        <w:rPr>
          <w:rFonts w:eastAsia="Lucida Sans Unicode"/>
          <w:color w:val="000000"/>
          <w:szCs w:val="24"/>
          <w:lang w:eastAsia="lt-LT"/>
        </w:rPr>
        <w:t xml:space="preserve">d. Nr. </w:t>
      </w:r>
      <w:r w:rsidR="003861EF">
        <w:rPr>
          <w:rFonts w:eastAsia="Lucida Sans Unicode"/>
          <w:color w:val="000000"/>
          <w:szCs w:val="24"/>
          <w:lang w:eastAsia="lt-LT"/>
        </w:rPr>
        <w:t>TS-</w:t>
      </w:r>
      <w:r w:rsidR="000D6CB4">
        <w:rPr>
          <w:rFonts w:eastAsia="Lucida Sans Unicode"/>
          <w:color w:val="000000"/>
          <w:szCs w:val="24"/>
          <w:lang w:eastAsia="lt-LT"/>
        </w:rPr>
        <w:t>30</w:t>
      </w:r>
    </w:p>
    <w:p w14:paraId="69C92E15" w14:textId="77777777" w:rsidR="00FB67EF" w:rsidRPr="00EC5095" w:rsidRDefault="00001E58" w:rsidP="00EC5095">
      <w:pPr>
        <w:ind w:right="-431"/>
        <w:contextualSpacing/>
        <w:jc w:val="center"/>
        <w:rPr>
          <w:rFonts w:eastAsia="Lucida Sans Unicode"/>
          <w:color w:val="000000"/>
          <w:kern w:val="1"/>
          <w:szCs w:val="24"/>
          <w:lang w:eastAsia="lt-LT"/>
        </w:rPr>
      </w:pPr>
      <w:r w:rsidRPr="00EC5095">
        <w:rPr>
          <w:rFonts w:eastAsia="Lucida Sans Unicode"/>
          <w:color w:val="000000"/>
          <w:kern w:val="1"/>
          <w:szCs w:val="24"/>
          <w:lang w:eastAsia="lt-LT"/>
        </w:rPr>
        <w:t>Kėdainiai</w:t>
      </w:r>
    </w:p>
    <w:p w14:paraId="65F9BBD6" w14:textId="77777777" w:rsidR="00FB67EF" w:rsidRPr="00EC5095" w:rsidRDefault="00FB67EF" w:rsidP="00EC5095">
      <w:pPr>
        <w:ind w:right="-431"/>
        <w:contextualSpacing/>
        <w:jc w:val="center"/>
        <w:rPr>
          <w:rFonts w:eastAsia="Lucida Sans Unicode"/>
          <w:color w:val="000000"/>
          <w:kern w:val="2"/>
          <w:szCs w:val="24"/>
          <w:lang w:eastAsia="lt-LT"/>
        </w:rPr>
      </w:pPr>
    </w:p>
    <w:p w14:paraId="38A7E346" w14:textId="53E41AD7" w:rsidR="00FB67EF" w:rsidRPr="00EC5095" w:rsidRDefault="00001E58" w:rsidP="00EC5095">
      <w:pPr>
        <w:widowControl w:val="0"/>
        <w:shd w:val="clear" w:color="auto" w:fill="FFFFFF"/>
        <w:suppressAutoHyphens/>
        <w:ind w:firstLine="709"/>
        <w:contextualSpacing/>
        <w:jc w:val="both"/>
        <w:rPr>
          <w:color w:val="000000"/>
          <w:szCs w:val="24"/>
          <w:lang w:eastAsia="lt-LT"/>
        </w:rPr>
      </w:pPr>
      <w:r w:rsidRPr="00EC5095">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w:t>
      </w:r>
      <w:r w:rsidR="00930D86" w:rsidRPr="00EC5095">
        <w:rPr>
          <w:szCs w:val="24"/>
          <w:lang w:eastAsia="lt-LT"/>
        </w:rPr>
        <w:t>Kėdainių r</w:t>
      </w:r>
      <w:r w:rsidR="002904A0" w:rsidRPr="00EC5095">
        <w:rPr>
          <w:szCs w:val="24"/>
          <w:lang w:eastAsia="lt-LT"/>
        </w:rPr>
        <w:t>. Akademijos gimnazijos</w:t>
      </w:r>
      <w:r w:rsidR="00930D86" w:rsidRPr="00EC5095">
        <w:rPr>
          <w:szCs w:val="24"/>
          <w:lang w:eastAsia="lt-LT"/>
        </w:rPr>
        <w:t xml:space="preserve"> direktoriaus 202</w:t>
      </w:r>
      <w:r w:rsidR="002904A0" w:rsidRPr="00EC5095">
        <w:rPr>
          <w:szCs w:val="24"/>
          <w:lang w:eastAsia="lt-LT"/>
        </w:rPr>
        <w:t>4</w:t>
      </w:r>
      <w:r w:rsidR="00930D86" w:rsidRPr="00EC5095">
        <w:rPr>
          <w:szCs w:val="24"/>
          <w:lang w:eastAsia="lt-LT"/>
        </w:rPr>
        <w:t xml:space="preserve"> m. </w:t>
      </w:r>
      <w:r w:rsidR="00287BEF" w:rsidRPr="00EC5095">
        <w:rPr>
          <w:szCs w:val="24"/>
          <w:lang w:eastAsia="lt-LT"/>
        </w:rPr>
        <w:t>spalio 29</w:t>
      </w:r>
      <w:r w:rsidR="00930D86" w:rsidRPr="00EC5095">
        <w:rPr>
          <w:szCs w:val="24"/>
          <w:lang w:eastAsia="lt-LT"/>
        </w:rPr>
        <w:t xml:space="preserve"> d. įsakymą Nr. </w:t>
      </w:r>
      <w:r w:rsidR="002904A0" w:rsidRPr="00EC5095">
        <w:rPr>
          <w:szCs w:val="24"/>
          <w:lang w:eastAsia="lt-LT"/>
        </w:rPr>
        <w:t>V1-</w:t>
      </w:r>
      <w:r w:rsidR="00287BEF" w:rsidRPr="00EC5095">
        <w:rPr>
          <w:szCs w:val="24"/>
          <w:lang w:eastAsia="lt-LT"/>
        </w:rPr>
        <w:t>531</w:t>
      </w:r>
      <w:r w:rsidR="00930D86" w:rsidRPr="00EC5095">
        <w:rPr>
          <w:szCs w:val="24"/>
          <w:lang w:eastAsia="lt-LT"/>
        </w:rPr>
        <w:t xml:space="preserve"> „Dėl valstybės turto pripažinimo netinkamu (negalimu) naudoti“</w:t>
      </w:r>
      <w:r w:rsidR="00714CEB" w:rsidRPr="00EC5095">
        <w:rPr>
          <w:szCs w:val="24"/>
          <w:lang w:eastAsia="lt-LT"/>
        </w:rPr>
        <w:t xml:space="preserve"> ir </w:t>
      </w:r>
      <w:r w:rsidR="00287BEF" w:rsidRPr="00EC5095">
        <w:rPr>
          <w:szCs w:val="24"/>
          <w:lang w:eastAsia="lt-LT"/>
        </w:rPr>
        <w:t>Lietuvos Respublikos švietimo, mokslo ir sporto ministerijos administravimo departamento</w:t>
      </w:r>
      <w:r w:rsidR="00256EC1" w:rsidRPr="00EC5095">
        <w:rPr>
          <w:szCs w:val="24"/>
          <w:lang w:eastAsia="lt-LT"/>
        </w:rPr>
        <w:t xml:space="preserve"> 202</w:t>
      </w:r>
      <w:r w:rsidR="002904A0" w:rsidRPr="00EC5095">
        <w:rPr>
          <w:szCs w:val="24"/>
          <w:lang w:eastAsia="lt-LT"/>
        </w:rPr>
        <w:t>4</w:t>
      </w:r>
      <w:r w:rsidR="00256EC1" w:rsidRPr="00EC5095">
        <w:rPr>
          <w:szCs w:val="24"/>
          <w:lang w:eastAsia="lt-LT"/>
        </w:rPr>
        <w:t xml:space="preserve"> m. </w:t>
      </w:r>
      <w:r w:rsidR="00287BEF" w:rsidRPr="00EC5095">
        <w:rPr>
          <w:szCs w:val="24"/>
          <w:lang w:eastAsia="lt-LT"/>
        </w:rPr>
        <w:t>lapkričio</w:t>
      </w:r>
      <w:r w:rsidR="002904A0" w:rsidRPr="00EC5095">
        <w:rPr>
          <w:szCs w:val="24"/>
          <w:lang w:eastAsia="lt-LT"/>
        </w:rPr>
        <w:t xml:space="preserve"> </w:t>
      </w:r>
      <w:r w:rsidR="00287BEF" w:rsidRPr="00EC5095">
        <w:rPr>
          <w:szCs w:val="24"/>
          <w:lang w:eastAsia="lt-LT"/>
        </w:rPr>
        <w:t>25</w:t>
      </w:r>
      <w:r w:rsidR="00342073" w:rsidRPr="00EC5095">
        <w:rPr>
          <w:szCs w:val="24"/>
          <w:lang w:eastAsia="lt-LT"/>
        </w:rPr>
        <w:t xml:space="preserve"> d.</w:t>
      </w:r>
      <w:r w:rsidR="004A46B5" w:rsidRPr="00EC5095">
        <w:rPr>
          <w:szCs w:val="24"/>
          <w:lang w:eastAsia="lt-LT"/>
        </w:rPr>
        <w:t xml:space="preserve"> </w:t>
      </w:r>
      <w:r w:rsidR="009058D7" w:rsidRPr="00EC5095">
        <w:rPr>
          <w:szCs w:val="24"/>
          <w:lang w:eastAsia="lt-LT"/>
        </w:rPr>
        <w:t xml:space="preserve">raštą Nr. </w:t>
      </w:r>
      <w:r w:rsidR="002904A0" w:rsidRPr="00EC5095">
        <w:rPr>
          <w:szCs w:val="24"/>
          <w:lang w:eastAsia="lt-LT"/>
        </w:rPr>
        <w:t>SD</w:t>
      </w:r>
      <w:r w:rsidR="00287BEF" w:rsidRPr="00EC5095">
        <w:rPr>
          <w:szCs w:val="24"/>
          <w:lang w:eastAsia="lt-LT"/>
        </w:rPr>
        <w:t>R-4243</w:t>
      </w:r>
      <w:r w:rsidR="00043206" w:rsidRPr="00EC5095">
        <w:rPr>
          <w:szCs w:val="24"/>
          <w:lang w:eastAsia="lt-LT"/>
        </w:rPr>
        <w:t xml:space="preserve"> „Dėl </w:t>
      </w:r>
      <w:r w:rsidR="00287BEF" w:rsidRPr="00EC5095">
        <w:rPr>
          <w:szCs w:val="24"/>
          <w:lang w:eastAsia="lt-LT"/>
        </w:rPr>
        <w:t>valstybės turto nurašymo</w:t>
      </w:r>
      <w:r w:rsidR="00043206" w:rsidRPr="00EC5095">
        <w:rPr>
          <w:szCs w:val="24"/>
          <w:lang w:eastAsia="lt-LT"/>
        </w:rPr>
        <w:t>“</w:t>
      </w:r>
      <w:r w:rsidRPr="00EC5095">
        <w:rPr>
          <w:szCs w:val="24"/>
          <w:lang w:eastAsia="lt-LT"/>
        </w:rPr>
        <w:t>,</w:t>
      </w:r>
      <w:r w:rsidR="002204DC" w:rsidRPr="00EC5095">
        <w:rPr>
          <w:szCs w:val="24"/>
          <w:shd w:val="clear" w:color="auto" w:fill="FFFFFF"/>
          <w:lang w:eastAsia="lt-LT"/>
        </w:rPr>
        <w:t xml:space="preserve"> </w:t>
      </w:r>
      <w:r w:rsidRPr="00EC5095">
        <w:rPr>
          <w:szCs w:val="24"/>
          <w:lang w:eastAsia="lt-LT"/>
        </w:rPr>
        <w:t xml:space="preserve">Kėdainių rajono savivaldybės taryba </w:t>
      </w:r>
      <w:r w:rsidRPr="00EC5095">
        <w:rPr>
          <w:spacing w:val="50"/>
          <w:szCs w:val="24"/>
          <w:lang w:eastAsia="lt-LT"/>
        </w:rPr>
        <w:t>nusprendžia</w:t>
      </w:r>
      <w:r w:rsidRPr="00EC5095">
        <w:rPr>
          <w:szCs w:val="24"/>
          <w:lang w:eastAsia="lt-LT"/>
        </w:rPr>
        <w:t xml:space="preserve">: </w:t>
      </w:r>
    </w:p>
    <w:p w14:paraId="3412282E" w14:textId="4CBD4B98" w:rsidR="00930D86" w:rsidRPr="00EC5095" w:rsidRDefault="00001E58" w:rsidP="00EC5095">
      <w:pPr>
        <w:tabs>
          <w:tab w:val="left" w:pos="1080"/>
        </w:tabs>
        <w:ind w:firstLine="709"/>
        <w:contextualSpacing/>
        <w:jc w:val="both"/>
        <w:rPr>
          <w:szCs w:val="24"/>
          <w:lang w:eastAsia="lt-LT"/>
        </w:rPr>
      </w:pPr>
      <w:r w:rsidRPr="00EC5095">
        <w:rPr>
          <w:szCs w:val="24"/>
          <w:lang w:eastAsia="lt-LT"/>
        </w:rPr>
        <w:t xml:space="preserve">1. </w:t>
      </w:r>
      <w:r w:rsidR="00930D86" w:rsidRPr="00EC5095">
        <w:rPr>
          <w:szCs w:val="24"/>
          <w:lang w:eastAsia="lt-LT"/>
        </w:rPr>
        <w:t xml:space="preserve">Nurašyti pripažintą netinkamu (negalimu) naudoti dėl fizinio ir funkcinio nusidėvėjimo bei sugedimo valstybei nuosavybės teise priklausantį Kėdainių </w:t>
      </w:r>
      <w:r w:rsidR="002904A0" w:rsidRPr="00EC5095">
        <w:rPr>
          <w:szCs w:val="24"/>
          <w:lang w:eastAsia="lt-LT"/>
        </w:rPr>
        <w:t>r. Akademijos gimnazijos</w:t>
      </w:r>
      <w:r w:rsidR="00930D86" w:rsidRPr="00EC5095">
        <w:rPr>
          <w:szCs w:val="24"/>
          <w:lang w:eastAsia="lt-LT"/>
        </w:rPr>
        <w:t xml:space="preserve"> patikėjimo teise valdomą </w:t>
      </w:r>
      <w:r w:rsidR="00714CEB" w:rsidRPr="00EC5095">
        <w:rPr>
          <w:szCs w:val="24"/>
          <w:lang w:eastAsia="lt-LT"/>
        </w:rPr>
        <w:t xml:space="preserve">ilgalaikį </w:t>
      </w:r>
      <w:r w:rsidR="00930D86" w:rsidRPr="00EC5095">
        <w:rPr>
          <w:szCs w:val="24"/>
          <w:lang w:eastAsia="lt-LT"/>
        </w:rPr>
        <w:t>turtą, nurodytą šio sprendimo</w:t>
      </w:r>
      <w:r w:rsidR="00714CEB" w:rsidRPr="00EC5095">
        <w:rPr>
          <w:szCs w:val="24"/>
          <w:lang w:eastAsia="lt-LT"/>
        </w:rPr>
        <w:t xml:space="preserve"> </w:t>
      </w:r>
      <w:r w:rsidR="00930D86" w:rsidRPr="00EC5095">
        <w:rPr>
          <w:szCs w:val="24"/>
          <w:lang w:eastAsia="lt-LT"/>
        </w:rPr>
        <w:t>pried</w:t>
      </w:r>
      <w:r w:rsidR="00714CEB" w:rsidRPr="00EC5095">
        <w:rPr>
          <w:szCs w:val="24"/>
          <w:lang w:eastAsia="lt-LT"/>
        </w:rPr>
        <w:t>e</w:t>
      </w:r>
      <w:r w:rsidR="00930D86" w:rsidRPr="00EC5095">
        <w:rPr>
          <w:szCs w:val="24"/>
          <w:lang w:eastAsia="lt-LT"/>
        </w:rPr>
        <w:t>.</w:t>
      </w:r>
    </w:p>
    <w:p w14:paraId="00514C26" w14:textId="247F68EC" w:rsidR="00930D86" w:rsidRPr="00EC5095" w:rsidRDefault="00714CEB" w:rsidP="00EC5095">
      <w:pPr>
        <w:widowControl w:val="0"/>
        <w:suppressAutoHyphens/>
        <w:ind w:firstLine="709"/>
        <w:contextualSpacing/>
        <w:jc w:val="both"/>
        <w:rPr>
          <w:szCs w:val="24"/>
          <w:lang w:eastAsia="lt-LT"/>
        </w:rPr>
      </w:pPr>
      <w:r w:rsidRPr="00EC5095">
        <w:rPr>
          <w:szCs w:val="24"/>
          <w:lang w:eastAsia="lt-LT"/>
        </w:rPr>
        <w:t>2</w:t>
      </w:r>
      <w:r w:rsidR="00930D86" w:rsidRPr="00EC5095">
        <w:rPr>
          <w:szCs w:val="24"/>
          <w:lang w:eastAsia="lt-LT"/>
        </w:rPr>
        <w:t xml:space="preserve">. </w:t>
      </w:r>
      <w:r w:rsidR="00930D86" w:rsidRPr="00EC5095">
        <w:rPr>
          <w:szCs w:val="24"/>
        </w:rPr>
        <w:t>Įgalioti Kėdainių r</w:t>
      </w:r>
      <w:r w:rsidR="002904A0" w:rsidRPr="00EC5095">
        <w:rPr>
          <w:szCs w:val="24"/>
        </w:rPr>
        <w:t>. Akademijos gimnazijos</w:t>
      </w:r>
      <w:r w:rsidR="00930D86" w:rsidRPr="00EC5095">
        <w:rPr>
          <w:szCs w:val="24"/>
        </w:rPr>
        <w:t xml:space="preserve"> direktorių būti atsakingu už </w:t>
      </w:r>
      <w:r w:rsidR="00BD4C29" w:rsidRPr="00EC5095">
        <w:rPr>
          <w:szCs w:val="24"/>
        </w:rPr>
        <w:t>1</w:t>
      </w:r>
      <w:r w:rsidR="00930D86" w:rsidRPr="00EC5095">
        <w:rPr>
          <w:szCs w:val="24"/>
        </w:rPr>
        <w:t> punkte nurašomo turto išardymą ir likvidavimą.</w:t>
      </w:r>
    </w:p>
    <w:p w14:paraId="49E30E18" w14:textId="36F433F8" w:rsidR="00FB67EF" w:rsidRPr="00EC5095" w:rsidRDefault="00001E58" w:rsidP="00EC5095">
      <w:pPr>
        <w:shd w:val="clear" w:color="auto" w:fill="FFFFFF"/>
        <w:tabs>
          <w:tab w:val="left" w:pos="709"/>
          <w:tab w:val="left" w:pos="851"/>
        </w:tabs>
        <w:ind w:firstLine="709"/>
        <w:contextualSpacing/>
        <w:jc w:val="both"/>
        <w:rPr>
          <w:szCs w:val="24"/>
          <w:lang w:eastAsia="lt-LT"/>
        </w:rPr>
      </w:pPr>
      <w:r w:rsidRPr="00EC5095">
        <w:rPr>
          <w:color w:val="000000"/>
          <w:szCs w:val="24"/>
          <w:lang w:eastAsia="lt-LT"/>
        </w:rPr>
        <w:t xml:space="preserve">Šis sprendimas per vieną mėnesį nuo sprendimo paskelbimo dienos gali būti skundžiamas </w:t>
      </w:r>
      <w:r w:rsidRPr="00EC5095">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6A082B7" w14:textId="77777777" w:rsidR="00FB67EF" w:rsidRPr="00EC5095" w:rsidRDefault="00FB67EF" w:rsidP="00EC5095">
      <w:pPr>
        <w:ind w:firstLine="709"/>
        <w:contextualSpacing/>
        <w:rPr>
          <w:rFonts w:eastAsia="Lucida Sans Unicode"/>
          <w:color w:val="000000"/>
          <w:szCs w:val="24"/>
          <w:lang w:eastAsia="lt-LT"/>
        </w:rPr>
      </w:pPr>
    </w:p>
    <w:p w14:paraId="7BE3D405" w14:textId="6E49C1FE" w:rsidR="003E0840" w:rsidRPr="00EC5095" w:rsidRDefault="003E0840" w:rsidP="00EC5095">
      <w:pPr>
        <w:contextualSpacing/>
        <w:rPr>
          <w:rFonts w:eastAsia="Lucida Sans Unicode"/>
          <w:color w:val="000000"/>
          <w:szCs w:val="24"/>
          <w:lang w:eastAsia="lt-LT"/>
        </w:rPr>
      </w:pPr>
    </w:p>
    <w:p w14:paraId="1EA428FB" w14:textId="77777777" w:rsidR="003E0840" w:rsidRPr="00EC5095" w:rsidRDefault="003E0840" w:rsidP="00EC5095">
      <w:pPr>
        <w:contextualSpacing/>
        <w:rPr>
          <w:rFonts w:eastAsia="Lucida Sans Unicode"/>
          <w:color w:val="000000"/>
          <w:szCs w:val="24"/>
          <w:lang w:eastAsia="lt-LT"/>
        </w:rPr>
      </w:pPr>
    </w:p>
    <w:p w14:paraId="4515FBD9" w14:textId="1F6B0F12" w:rsidR="00FB67EF" w:rsidRPr="00EC5095" w:rsidRDefault="00001E58" w:rsidP="00EC5095">
      <w:pPr>
        <w:contextualSpacing/>
        <w:rPr>
          <w:rFonts w:eastAsia="Lucida Sans Unicode"/>
          <w:color w:val="000000"/>
          <w:szCs w:val="24"/>
          <w:lang w:eastAsia="lt-LT"/>
        </w:rPr>
      </w:pPr>
      <w:r w:rsidRPr="00EC5095">
        <w:rPr>
          <w:rFonts w:eastAsia="Lucida Sans Unicode"/>
          <w:color w:val="000000"/>
          <w:szCs w:val="24"/>
          <w:lang w:eastAsia="lt-LT"/>
        </w:rPr>
        <w:t>Savivaldybės meras</w:t>
      </w:r>
      <w:r w:rsidR="003861EF">
        <w:rPr>
          <w:rFonts w:eastAsia="Lucida Sans Unicode"/>
          <w:color w:val="000000"/>
          <w:szCs w:val="24"/>
          <w:lang w:eastAsia="lt-LT"/>
        </w:rPr>
        <w:tab/>
      </w:r>
      <w:r w:rsidR="003861EF">
        <w:rPr>
          <w:rFonts w:eastAsia="Lucida Sans Unicode"/>
          <w:color w:val="000000"/>
          <w:szCs w:val="24"/>
          <w:lang w:eastAsia="lt-LT"/>
        </w:rPr>
        <w:tab/>
        <w:t xml:space="preserve">                                                               Valentinas Tamulis</w:t>
      </w:r>
    </w:p>
    <w:p w14:paraId="776B99A8" w14:textId="77777777" w:rsidR="00FB67EF" w:rsidRPr="00EC5095" w:rsidRDefault="00FB67EF" w:rsidP="00EC5095">
      <w:pPr>
        <w:ind w:firstLine="57"/>
        <w:contextualSpacing/>
        <w:rPr>
          <w:rFonts w:eastAsia="Lucida Sans Unicode"/>
          <w:color w:val="000000"/>
          <w:szCs w:val="24"/>
          <w:lang w:eastAsia="lt-LT"/>
        </w:rPr>
      </w:pPr>
    </w:p>
    <w:p w14:paraId="75F2BC76" w14:textId="77777777" w:rsidR="00FB67EF" w:rsidRPr="00EC5095" w:rsidRDefault="00FB67EF" w:rsidP="00EC5095">
      <w:pPr>
        <w:contextualSpacing/>
        <w:rPr>
          <w:rFonts w:eastAsia="Lucida Sans Unicode"/>
          <w:color w:val="000000"/>
          <w:szCs w:val="24"/>
          <w:lang w:eastAsia="lt-LT"/>
        </w:rPr>
      </w:pPr>
    </w:p>
    <w:p w14:paraId="78734174" w14:textId="77777777" w:rsidR="00714CEB" w:rsidRPr="00EC5095" w:rsidRDefault="00714CEB" w:rsidP="00EC5095">
      <w:pPr>
        <w:contextualSpacing/>
        <w:rPr>
          <w:rFonts w:eastAsia="Lucida Sans Unicode"/>
          <w:color w:val="000000"/>
          <w:szCs w:val="24"/>
          <w:lang w:eastAsia="lt-LT"/>
        </w:rPr>
      </w:pPr>
    </w:p>
    <w:p w14:paraId="203903FF" w14:textId="77777777" w:rsidR="00714CEB" w:rsidRPr="00EC5095" w:rsidRDefault="00714CEB" w:rsidP="00EC5095">
      <w:pPr>
        <w:contextualSpacing/>
        <w:rPr>
          <w:rFonts w:eastAsia="Lucida Sans Unicode"/>
          <w:color w:val="000000"/>
          <w:szCs w:val="24"/>
          <w:lang w:eastAsia="lt-LT"/>
        </w:rPr>
      </w:pPr>
    </w:p>
    <w:p w14:paraId="2EE16934" w14:textId="77777777" w:rsidR="00714CEB" w:rsidRPr="00EC5095" w:rsidRDefault="00714CEB" w:rsidP="00EC5095">
      <w:pPr>
        <w:contextualSpacing/>
        <w:rPr>
          <w:rFonts w:eastAsia="Lucida Sans Unicode"/>
          <w:color w:val="000000"/>
          <w:szCs w:val="24"/>
          <w:lang w:eastAsia="lt-LT"/>
        </w:rPr>
      </w:pPr>
    </w:p>
    <w:p w14:paraId="13AC2870" w14:textId="77777777" w:rsidR="004A46B5" w:rsidRPr="00EC5095" w:rsidRDefault="004A46B5" w:rsidP="00EC5095">
      <w:pPr>
        <w:contextualSpacing/>
        <w:rPr>
          <w:rFonts w:eastAsia="Lucida Sans Unicode"/>
          <w:color w:val="000000"/>
          <w:szCs w:val="24"/>
          <w:lang w:eastAsia="lt-LT"/>
        </w:rPr>
      </w:pPr>
    </w:p>
    <w:p w14:paraId="01E07EE6" w14:textId="77777777" w:rsidR="002904A0" w:rsidRPr="00EC5095" w:rsidRDefault="002904A0" w:rsidP="00EC5095">
      <w:pPr>
        <w:contextualSpacing/>
        <w:rPr>
          <w:szCs w:val="24"/>
          <w:lang w:eastAsia="lt-LT"/>
        </w:rPr>
      </w:pPr>
      <w:r w:rsidRPr="00EC5095">
        <w:rPr>
          <w:szCs w:val="24"/>
          <w:lang w:eastAsia="lt-LT"/>
        </w:rPr>
        <w:br w:type="page"/>
      </w:r>
    </w:p>
    <w:p w14:paraId="401ECAA2" w14:textId="3C0E0B9E" w:rsidR="00FB67EF" w:rsidRPr="00EC5095" w:rsidRDefault="00001E58" w:rsidP="00EC5095">
      <w:pPr>
        <w:widowControl w:val="0"/>
        <w:suppressAutoHyphens/>
        <w:ind w:left="5387"/>
        <w:contextualSpacing/>
        <w:rPr>
          <w:rFonts w:eastAsia="Lucida Sans Unicode"/>
          <w:color w:val="000000"/>
          <w:szCs w:val="24"/>
          <w:lang w:eastAsia="lt-LT"/>
        </w:rPr>
      </w:pPr>
      <w:r w:rsidRPr="00EC5095">
        <w:rPr>
          <w:szCs w:val="24"/>
          <w:lang w:eastAsia="lt-LT"/>
        </w:rPr>
        <w:lastRenderedPageBreak/>
        <w:t>Kė</w:t>
      </w:r>
      <w:r w:rsidRPr="00EC5095">
        <w:rPr>
          <w:rFonts w:eastAsia="Lucida Sans Unicode"/>
          <w:color w:val="000000"/>
          <w:szCs w:val="24"/>
          <w:lang w:eastAsia="lt-LT"/>
        </w:rPr>
        <w:t>dainių rajono savivaldybės tarybos</w:t>
      </w:r>
    </w:p>
    <w:p w14:paraId="78508409" w14:textId="6CE72157" w:rsidR="00FB67EF" w:rsidRPr="00EC5095" w:rsidRDefault="00043206" w:rsidP="00EC5095">
      <w:pPr>
        <w:widowControl w:val="0"/>
        <w:suppressAutoHyphens/>
        <w:ind w:left="5387"/>
        <w:contextualSpacing/>
        <w:rPr>
          <w:szCs w:val="24"/>
          <w:lang w:eastAsia="lt-LT"/>
        </w:rPr>
      </w:pPr>
      <w:r w:rsidRPr="00EC5095">
        <w:rPr>
          <w:szCs w:val="24"/>
          <w:lang w:eastAsia="lt-LT"/>
        </w:rPr>
        <w:t>202</w:t>
      </w:r>
      <w:r w:rsidR="00342073" w:rsidRPr="00EC5095">
        <w:rPr>
          <w:szCs w:val="24"/>
          <w:lang w:eastAsia="lt-LT"/>
        </w:rPr>
        <w:t>5</w:t>
      </w:r>
      <w:r w:rsidR="004A46B5" w:rsidRPr="00EC5095">
        <w:rPr>
          <w:szCs w:val="24"/>
          <w:lang w:eastAsia="lt-LT"/>
        </w:rPr>
        <w:t xml:space="preserve"> m. </w:t>
      </w:r>
      <w:r w:rsidR="003E0840" w:rsidRPr="00EC5095">
        <w:rPr>
          <w:szCs w:val="24"/>
          <w:lang w:eastAsia="lt-LT"/>
        </w:rPr>
        <w:t>vasario</w:t>
      </w:r>
      <w:r w:rsidRPr="00EC5095">
        <w:rPr>
          <w:szCs w:val="24"/>
          <w:lang w:eastAsia="lt-LT"/>
        </w:rPr>
        <w:t xml:space="preserve"> </w:t>
      </w:r>
      <w:r w:rsidR="003861EF">
        <w:rPr>
          <w:szCs w:val="24"/>
          <w:lang w:eastAsia="lt-LT"/>
        </w:rPr>
        <w:t>21</w:t>
      </w:r>
      <w:r w:rsidR="00001E58" w:rsidRPr="00EC5095">
        <w:rPr>
          <w:szCs w:val="24"/>
          <w:lang w:eastAsia="lt-LT"/>
        </w:rPr>
        <w:t xml:space="preserve"> d.  sprendimo Nr. TS-</w:t>
      </w:r>
    </w:p>
    <w:p w14:paraId="758A48E0" w14:textId="45708A81" w:rsidR="00FB67EF" w:rsidRPr="00EC5095" w:rsidRDefault="00001E58" w:rsidP="00EC5095">
      <w:pPr>
        <w:widowControl w:val="0"/>
        <w:suppressAutoHyphens/>
        <w:ind w:left="5387"/>
        <w:contextualSpacing/>
        <w:rPr>
          <w:szCs w:val="24"/>
          <w:lang w:eastAsia="lt-LT"/>
        </w:rPr>
      </w:pPr>
      <w:r w:rsidRPr="00EC5095">
        <w:rPr>
          <w:szCs w:val="24"/>
          <w:lang w:eastAsia="ar-SA"/>
        </w:rPr>
        <w:t>priedas</w:t>
      </w:r>
    </w:p>
    <w:p w14:paraId="60418DB5" w14:textId="77777777" w:rsidR="00930D86" w:rsidRPr="00EC5095" w:rsidRDefault="00930D86" w:rsidP="00EC5095">
      <w:pPr>
        <w:contextualSpacing/>
        <w:rPr>
          <w:szCs w:val="24"/>
          <w:lang w:eastAsia="lt-LT"/>
        </w:rPr>
      </w:pPr>
    </w:p>
    <w:p w14:paraId="4DE64D58" w14:textId="5B87717A" w:rsidR="00930D86" w:rsidRPr="00EC5095" w:rsidRDefault="00930D86" w:rsidP="00EC5095">
      <w:pPr>
        <w:contextualSpacing/>
        <w:jc w:val="center"/>
        <w:rPr>
          <w:b/>
        </w:rPr>
      </w:pPr>
      <w:r w:rsidRPr="00EC5095">
        <w:rPr>
          <w:b/>
        </w:rPr>
        <w:t>KĖDAINIŲ R</w:t>
      </w:r>
      <w:r w:rsidR="00E6152F" w:rsidRPr="00EC5095">
        <w:rPr>
          <w:b/>
        </w:rPr>
        <w:t xml:space="preserve">. </w:t>
      </w:r>
      <w:r w:rsidRPr="00EC5095">
        <w:rPr>
          <w:b/>
        </w:rPr>
        <w:t>A</w:t>
      </w:r>
      <w:r w:rsidR="00E6152F" w:rsidRPr="00EC5095">
        <w:rPr>
          <w:b/>
        </w:rPr>
        <w:t>KADEMIJOS GIMNAZIJOS</w:t>
      </w:r>
      <w:r w:rsidRPr="00EC5095">
        <w:rPr>
          <w:b/>
        </w:rPr>
        <w:t xml:space="preserve"> </w:t>
      </w:r>
    </w:p>
    <w:p w14:paraId="1731F4B9" w14:textId="15B16DF8" w:rsidR="00930D86" w:rsidRPr="00EC5095" w:rsidRDefault="00930D86" w:rsidP="00EC5095">
      <w:pPr>
        <w:contextualSpacing/>
        <w:jc w:val="center"/>
        <w:rPr>
          <w:b/>
        </w:rPr>
      </w:pPr>
      <w:r w:rsidRPr="00EC5095">
        <w:rPr>
          <w:b/>
        </w:rPr>
        <w:t xml:space="preserve">NURAŠOMO </w:t>
      </w:r>
      <w:r w:rsidR="00C029DE" w:rsidRPr="00EC5095">
        <w:rPr>
          <w:b/>
        </w:rPr>
        <w:t xml:space="preserve">ILGALAIKIO </w:t>
      </w:r>
      <w:r w:rsidRPr="00EC5095">
        <w:rPr>
          <w:b/>
        </w:rPr>
        <w:t xml:space="preserve">VALSTYBĖS TURTO </w:t>
      </w:r>
    </w:p>
    <w:p w14:paraId="7286292E" w14:textId="77777777" w:rsidR="00930D86" w:rsidRPr="00EC5095" w:rsidRDefault="00930D86" w:rsidP="00EC5095">
      <w:pPr>
        <w:contextualSpacing/>
        <w:jc w:val="center"/>
        <w:rPr>
          <w:b/>
        </w:rPr>
      </w:pPr>
      <w:r w:rsidRPr="00EC5095">
        <w:rPr>
          <w:b/>
        </w:rPr>
        <w:t>SĄRAŠAS</w:t>
      </w:r>
    </w:p>
    <w:p w14:paraId="1FE6D0F5" w14:textId="77777777" w:rsidR="00930D86" w:rsidRPr="00EC5095" w:rsidRDefault="00930D86" w:rsidP="00EC5095">
      <w:pPr>
        <w:contextualSpacing/>
        <w:jc w:val="center"/>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244"/>
        <w:gridCol w:w="1560"/>
        <w:gridCol w:w="992"/>
        <w:gridCol w:w="1134"/>
        <w:gridCol w:w="851"/>
        <w:gridCol w:w="1122"/>
        <w:gridCol w:w="1004"/>
      </w:tblGrid>
      <w:tr w:rsidR="00824A03" w:rsidRPr="00EC5095" w14:paraId="62E2F39E" w14:textId="77777777" w:rsidTr="002A47E9">
        <w:trPr>
          <w:cantSplit/>
          <w:trHeight w:val="70"/>
        </w:trPr>
        <w:tc>
          <w:tcPr>
            <w:tcW w:w="586" w:type="dxa"/>
            <w:shd w:val="clear" w:color="auto" w:fill="auto"/>
            <w:vAlign w:val="center"/>
          </w:tcPr>
          <w:p w14:paraId="4B633691" w14:textId="77777777" w:rsidR="00824A03" w:rsidRPr="00EC5095" w:rsidRDefault="00824A03" w:rsidP="00EC5095">
            <w:pPr>
              <w:contextualSpacing/>
              <w:jc w:val="center"/>
              <w:rPr>
                <w:b/>
                <w:szCs w:val="24"/>
                <w:lang w:eastAsia="lt-LT"/>
              </w:rPr>
            </w:pPr>
            <w:r w:rsidRPr="00EC5095">
              <w:rPr>
                <w:b/>
                <w:spacing w:val="-2"/>
                <w:szCs w:val="24"/>
                <w:lang w:eastAsia="lt-LT"/>
              </w:rPr>
              <w:t>Eil.</w:t>
            </w:r>
            <w:r w:rsidRPr="00EC5095">
              <w:rPr>
                <w:b/>
                <w:szCs w:val="24"/>
                <w:lang w:eastAsia="lt-LT"/>
              </w:rPr>
              <w:t xml:space="preserve"> Nr.</w:t>
            </w:r>
          </w:p>
        </w:tc>
        <w:tc>
          <w:tcPr>
            <w:tcW w:w="2244" w:type="dxa"/>
            <w:shd w:val="clear" w:color="auto" w:fill="auto"/>
            <w:vAlign w:val="center"/>
          </w:tcPr>
          <w:p w14:paraId="383127E0" w14:textId="77777777" w:rsidR="00824A03" w:rsidRPr="00EC5095" w:rsidRDefault="00824A03" w:rsidP="00EC5095">
            <w:pPr>
              <w:contextualSpacing/>
              <w:jc w:val="center"/>
              <w:rPr>
                <w:b/>
                <w:szCs w:val="24"/>
                <w:lang w:eastAsia="lt-LT"/>
              </w:rPr>
            </w:pPr>
            <w:r w:rsidRPr="00EC5095">
              <w:rPr>
                <w:b/>
                <w:szCs w:val="24"/>
                <w:lang w:eastAsia="lt-LT"/>
              </w:rPr>
              <w:t>Pavadinimas</w:t>
            </w:r>
          </w:p>
        </w:tc>
        <w:tc>
          <w:tcPr>
            <w:tcW w:w="1560" w:type="dxa"/>
            <w:shd w:val="clear" w:color="auto" w:fill="auto"/>
            <w:vAlign w:val="center"/>
          </w:tcPr>
          <w:p w14:paraId="50D395FD" w14:textId="5AE506C9" w:rsidR="00824A03" w:rsidRPr="00EC5095" w:rsidRDefault="00824A03" w:rsidP="00EC5095">
            <w:pPr>
              <w:contextualSpacing/>
              <w:jc w:val="center"/>
              <w:rPr>
                <w:b/>
                <w:szCs w:val="24"/>
                <w:lang w:eastAsia="lt-LT"/>
              </w:rPr>
            </w:pPr>
            <w:r w:rsidRPr="00EC5095">
              <w:rPr>
                <w:b/>
                <w:spacing w:val="-10"/>
                <w:szCs w:val="24"/>
                <w:lang w:eastAsia="lt-LT"/>
              </w:rPr>
              <w:t>Inventoriaus</w:t>
            </w:r>
            <w:r w:rsidRPr="00EC5095">
              <w:rPr>
                <w:b/>
                <w:szCs w:val="24"/>
                <w:lang w:eastAsia="lt-LT"/>
              </w:rPr>
              <w:t xml:space="preserve"> Nr.</w:t>
            </w:r>
          </w:p>
        </w:tc>
        <w:tc>
          <w:tcPr>
            <w:tcW w:w="992" w:type="dxa"/>
            <w:shd w:val="clear" w:color="auto" w:fill="auto"/>
            <w:vAlign w:val="center"/>
          </w:tcPr>
          <w:p w14:paraId="602DEE0A" w14:textId="77777777" w:rsidR="00824A03" w:rsidRPr="00EC5095" w:rsidRDefault="00824A03" w:rsidP="00EC5095">
            <w:pPr>
              <w:ind w:left="-108" w:right="-108"/>
              <w:contextualSpacing/>
              <w:jc w:val="center"/>
              <w:rPr>
                <w:b/>
                <w:szCs w:val="24"/>
                <w:lang w:eastAsia="lt-LT"/>
              </w:rPr>
            </w:pPr>
            <w:r w:rsidRPr="00EC5095">
              <w:rPr>
                <w:b/>
                <w:szCs w:val="24"/>
                <w:lang w:eastAsia="lt-LT"/>
              </w:rPr>
              <w:t>Įsigijimo</w:t>
            </w:r>
          </w:p>
          <w:p w14:paraId="5D11DB62" w14:textId="77777777" w:rsidR="00824A03" w:rsidRPr="00EC5095" w:rsidRDefault="00824A03" w:rsidP="00EC5095">
            <w:pPr>
              <w:ind w:left="-108" w:right="-108"/>
              <w:contextualSpacing/>
              <w:jc w:val="center"/>
              <w:rPr>
                <w:b/>
                <w:szCs w:val="24"/>
                <w:lang w:eastAsia="lt-LT"/>
              </w:rPr>
            </w:pPr>
            <w:r w:rsidRPr="00EC5095">
              <w:rPr>
                <w:b/>
                <w:szCs w:val="24"/>
                <w:lang w:eastAsia="lt-LT"/>
              </w:rPr>
              <w:t>metai</w:t>
            </w:r>
          </w:p>
        </w:tc>
        <w:tc>
          <w:tcPr>
            <w:tcW w:w="1134" w:type="dxa"/>
            <w:shd w:val="clear" w:color="auto" w:fill="auto"/>
            <w:vAlign w:val="center"/>
          </w:tcPr>
          <w:p w14:paraId="111A3212" w14:textId="77777777" w:rsidR="00824A03" w:rsidRPr="00EC5095" w:rsidRDefault="00824A03" w:rsidP="00EC5095">
            <w:pPr>
              <w:ind w:left="-107" w:right="-108"/>
              <w:contextualSpacing/>
              <w:jc w:val="center"/>
              <w:rPr>
                <w:b/>
                <w:szCs w:val="24"/>
                <w:lang w:eastAsia="lt-LT"/>
              </w:rPr>
            </w:pPr>
            <w:r w:rsidRPr="00EC5095">
              <w:rPr>
                <w:b/>
                <w:szCs w:val="24"/>
                <w:lang w:eastAsia="lt-LT"/>
              </w:rPr>
              <w:t>Vieneto įsigijimo savikaina, Eur</w:t>
            </w:r>
          </w:p>
        </w:tc>
        <w:tc>
          <w:tcPr>
            <w:tcW w:w="851" w:type="dxa"/>
            <w:shd w:val="clear" w:color="auto" w:fill="auto"/>
            <w:vAlign w:val="center"/>
          </w:tcPr>
          <w:p w14:paraId="34FF8C7F" w14:textId="77777777" w:rsidR="00824A03" w:rsidRPr="00EC5095" w:rsidRDefault="00824A03" w:rsidP="00EC5095">
            <w:pPr>
              <w:ind w:left="-108" w:right="-108"/>
              <w:contextualSpacing/>
              <w:jc w:val="center"/>
              <w:rPr>
                <w:b/>
                <w:szCs w:val="24"/>
                <w:lang w:eastAsia="lt-LT"/>
              </w:rPr>
            </w:pPr>
            <w:r w:rsidRPr="00EC5095">
              <w:rPr>
                <w:b/>
                <w:szCs w:val="24"/>
                <w:lang w:eastAsia="lt-LT"/>
              </w:rPr>
              <w:t>Kiekis, vnt.</w:t>
            </w:r>
          </w:p>
        </w:tc>
        <w:tc>
          <w:tcPr>
            <w:tcW w:w="1122" w:type="dxa"/>
            <w:shd w:val="clear" w:color="auto" w:fill="auto"/>
            <w:vAlign w:val="center"/>
          </w:tcPr>
          <w:p w14:paraId="4ABDA134" w14:textId="77777777" w:rsidR="00824A03" w:rsidRPr="00EC5095" w:rsidRDefault="00824A03" w:rsidP="00EC5095">
            <w:pPr>
              <w:ind w:left="-121" w:right="-106"/>
              <w:contextualSpacing/>
              <w:jc w:val="center"/>
              <w:rPr>
                <w:b/>
                <w:szCs w:val="24"/>
                <w:lang w:eastAsia="lt-LT"/>
              </w:rPr>
            </w:pPr>
            <w:r w:rsidRPr="00EC5095">
              <w:rPr>
                <w:b/>
                <w:szCs w:val="24"/>
                <w:lang w:eastAsia="lt-LT"/>
              </w:rPr>
              <w:t>Bendra įsigijimo savikaina, Eur</w:t>
            </w:r>
          </w:p>
        </w:tc>
        <w:tc>
          <w:tcPr>
            <w:tcW w:w="1004" w:type="dxa"/>
            <w:shd w:val="clear" w:color="auto" w:fill="auto"/>
            <w:vAlign w:val="center"/>
          </w:tcPr>
          <w:p w14:paraId="67DE2327" w14:textId="77777777" w:rsidR="00824A03" w:rsidRPr="00EC5095" w:rsidRDefault="00824A03" w:rsidP="00EC5095">
            <w:pPr>
              <w:ind w:left="-108" w:right="-108"/>
              <w:contextualSpacing/>
              <w:jc w:val="center"/>
              <w:rPr>
                <w:b/>
                <w:szCs w:val="24"/>
                <w:lang w:eastAsia="lt-LT"/>
              </w:rPr>
            </w:pPr>
            <w:r w:rsidRPr="00EC5095">
              <w:rPr>
                <w:b/>
                <w:szCs w:val="24"/>
                <w:lang w:eastAsia="lt-LT"/>
              </w:rPr>
              <w:t>Likutinė vertė,</w:t>
            </w:r>
          </w:p>
          <w:p w14:paraId="4FF77226" w14:textId="77777777" w:rsidR="00824A03" w:rsidRPr="00EC5095" w:rsidRDefault="00824A03" w:rsidP="00EC5095">
            <w:pPr>
              <w:contextualSpacing/>
              <w:jc w:val="center"/>
              <w:rPr>
                <w:b/>
                <w:szCs w:val="24"/>
                <w:lang w:eastAsia="lt-LT"/>
              </w:rPr>
            </w:pPr>
            <w:r w:rsidRPr="00EC5095">
              <w:rPr>
                <w:b/>
                <w:szCs w:val="24"/>
                <w:lang w:eastAsia="lt-LT"/>
              </w:rPr>
              <w:t>Eur</w:t>
            </w:r>
          </w:p>
        </w:tc>
      </w:tr>
      <w:tr w:rsidR="00824A03" w:rsidRPr="00EC5095" w14:paraId="7ABEFD9B" w14:textId="77777777" w:rsidTr="002A47E9">
        <w:trPr>
          <w:cantSplit/>
          <w:trHeight w:val="70"/>
        </w:trPr>
        <w:tc>
          <w:tcPr>
            <w:tcW w:w="586" w:type="dxa"/>
            <w:shd w:val="clear" w:color="auto" w:fill="auto"/>
          </w:tcPr>
          <w:p w14:paraId="37A8F01B" w14:textId="77777777" w:rsidR="00824A03" w:rsidRPr="00EC5095" w:rsidRDefault="00824A03" w:rsidP="00EC5095">
            <w:pPr>
              <w:contextualSpacing/>
              <w:jc w:val="center"/>
              <w:rPr>
                <w:szCs w:val="24"/>
                <w:lang w:eastAsia="lt-LT"/>
              </w:rPr>
            </w:pPr>
            <w:r w:rsidRPr="00EC5095">
              <w:rPr>
                <w:szCs w:val="24"/>
                <w:lang w:eastAsia="lt-LT"/>
              </w:rPr>
              <w:t>1</w:t>
            </w:r>
          </w:p>
        </w:tc>
        <w:tc>
          <w:tcPr>
            <w:tcW w:w="2244" w:type="dxa"/>
            <w:shd w:val="clear" w:color="auto" w:fill="auto"/>
          </w:tcPr>
          <w:p w14:paraId="66A3F3EE" w14:textId="77777777" w:rsidR="002A47E9" w:rsidRPr="00EC5095" w:rsidRDefault="00E6152F" w:rsidP="00EC5095">
            <w:pPr>
              <w:contextualSpacing/>
              <w:rPr>
                <w:spacing w:val="-2"/>
              </w:rPr>
            </w:pPr>
            <w:r w:rsidRPr="00EC5095">
              <w:rPr>
                <w:spacing w:val="-2"/>
              </w:rPr>
              <w:t>K</w:t>
            </w:r>
            <w:r w:rsidR="00F16A1B" w:rsidRPr="00EC5095">
              <w:rPr>
                <w:spacing w:val="-2"/>
              </w:rPr>
              <w:t xml:space="preserve">ompiuteris </w:t>
            </w:r>
          </w:p>
          <w:p w14:paraId="67101160" w14:textId="1CB4FEE9" w:rsidR="00824A03" w:rsidRPr="00EC5095" w:rsidRDefault="002A47E9" w:rsidP="00EC5095">
            <w:pPr>
              <w:contextualSpacing/>
              <w:rPr>
                <w:spacing w:val="-2"/>
              </w:rPr>
            </w:pPr>
            <w:r w:rsidRPr="00EC5095">
              <w:rPr>
                <w:spacing w:val="-2"/>
              </w:rPr>
              <w:t>„</w:t>
            </w:r>
            <w:r w:rsidR="00F16A1B" w:rsidRPr="00EC5095">
              <w:rPr>
                <w:spacing w:val="-2"/>
              </w:rPr>
              <w:t xml:space="preserve">Vector </w:t>
            </w:r>
            <w:r w:rsidR="00287BEF" w:rsidRPr="00EC5095">
              <w:rPr>
                <w:spacing w:val="-2"/>
              </w:rPr>
              <w:t>AK 07</w:t>
            </w:r>
            <w:r w:rsidRPr="00EC5095">
              <w:rPr>
                <w:spacing w:val="-2"/>
              </w:rPr>
              <w:t>“</w:t>
            </w:r>
          </w:p>
        </w:tc>
        <w:tc>
          <w:tcPr>
            <w:tcW w:w="1560" w:type="dxa"/>
            <w:shd w:val="clear" w:color="auto" w:fill="auto"/>
          </w:tcPr>
          <w:p w14:paraId="54E3FBA5" w14:textId="7B6AC064" w:rsidR="00824A03" w:rsidRPr="00EC5095" w:rsidRDefault="00287BEF" w:rsidP="00EC5095">
            <w:pPr>
              <w:ind w:left="-112" w:right="-112"/>
              <w:contextualSpacing/>
              <w:jc w:val="center"/>
              <w:rPr>
                <w:szCs w:val="24"/>
                <w:lang w:eastAsia="lt-LT"/>
              </w:rPr>
            </w:pPr>
            <w:r w:rsidRPr="00EC5095">
              <w:rPr>
                <w:szCs w:val="24"/>
                <w:lang w:eastAsia="lt-LT"/>
              </w:rPr>
              <w:t>0138005700</w:t>
            </w:r>
          </w:p>
          <w:p w14:paraId="6E777A58" w14:textId="5E203295" w:rsidR="00F16A1B" w:rsidRPr="00EC5095" w:rsidRDefault="00F16A1B" w:rsidP="00EC5095">
            <w:pPr>
              <w:contextualSpacing/>
              <w:jc w:val="center"/>
              <w:rPr>
                <w:szCs w:val="24"/>
                <w:lang w:eastAsia="lt-LT"/>
              </w:rPr>
            </w:pPr>
          </w:p>
        </w:tc>
        <w:tc>
          <w:tcPr>
            <w:tcW w:w="992" w:type="dxa"/>
            <w:shd w:val="clear" w:color="auto" w:fill="auto"/>
          </w:tcPr>
          <w:p w14:paraId="789D8670" w14:textId="3C57F4BB" w:rsidR="00824A03" w:rsidRPr="00EC5095" w:rsidRDefault="00287BEF" w:rsidP="00EC5095">
            <w:pPr>
              <w:contextualSpacing/>
              <w:jc w:val="center"/>
              <w:rPr>
                <w:szCs w:val="24"/>
                <w:lang w:eastAsia="lt-LT"/>
              </w:rPr>
            </w:pPr>
            <w:r w:rsidRPr="00EC5095">
              <w:rPr>
                <w:szCs w:val="24"/>
                <w:lang w:eastAsia="lt-LT"/>
              </w:rPr>
              <w:t>2004</w:t>
            </w:r>
          </w:p>
        </w:tc>
        <w:tc>
          <w:tcPr>
            <w:tcW w:w="1134" w:type="dxa"/>
            <w:shd w:val="clear" w:color="auto" w:fill="auto"/>
          </w:tcPr>
          <w:p w14:paraId="4E3B7C49" w14:textId="3E20B5E6" w:rsidR="00824A03" w:rsidRPr="00EC5095" w:rsidRDefault="00287BEF" w:rsidP="00EC5095">
            <w:pPr>
              <w:contextualSpacing/>
              <w:jc w:val="right"/>
              <w:rPr>
                <w:szCs w:val="24"/>
                <w:lang w:eastAsia="lt-LT"/>
              </w:rPr>
            </w:pPr>
            <w:r w:rsidRPr="00EC5095">
              <w:rPr>
                <w:szCs w:val="24"/>
                <w:lang w:eastAsia="lt-LT"/>
              </w:rPr>
              <w:t>325,53</w:t>
            </w:r>
          </w:p>
        </w:tc>
        <w:tc>
          <w:tcPr>
            <w:tcW w:w="851" w:type="dxa"/>
            <w:shd w:val="clear" w:color="auto" w:fill="auto"/>
          </w:tcPr>
          <w:p w14:paraId="5B1BD143" w14:textId="3151E763" w:rsidR="00824A03" w:rsidRPr="00EC5095" w:rsidRDefault="00E6152F" w:rsidP="00EC5095">
            <w:pPr>
              <w:contextualSpacing/>
              <w:jc w:val="center"/>
              <w:rPr>
                <w:szCs w:val="24"/>
                <w:lang w:eastAsia="lt-LT"/>
              </w:rPr>
            </w:pPr>
            <w:r w:rsidRPr="00EC5095">
              <w:rPr>
                <w:szCs w:val="24"/>
                <w:lang w:eastAsia="lt-LT"/>
              </w:rPr>
              <w:t>1</w:t>
            </w:r>
          </w:p>
        </w:tc>
        <w:tc>
          <w:tcPr>
            <w:tcW w:w="1122" w:type="dxa"/>
            <w:shd w:val="clear" w:color="auto" w:fill="auto"/>
          </w:tcPr>
          <w:p w14:paraId="5537E1E3" w14:textId="2AE3A8E2" w:rsidR="00824A03" w:rsidRPr="00EC5095" w:rsidRDefault="00287BEF" w:rsidP="00EC5095">
            <w:pPr>
              <w:contextualSpacing/>
              <w:jc w:val="right"/>
              <w:rPr>
                <w:szCs w:val="24"/>
                <w:lang w:eastAsia="lt-LT"/>
              </w:rPr>
            </w:pPr>
            <w:r w:rsidRPr="00EC5095">
              <w:rPr>
                <w:szCs w:val="24"/>
                <w:lang w:eastAsia="lt-LT"/>
              </w:rPr>
              <w:t>325,53</w:t>
            </w:r>
          </w:p>
        </w:tc>
        <w:tc>
          <w:tcPr>
            <w:tcW w:w="1004" w:type="dxa"/>
            <w:shd w:val="clear" w:color="auto" w:fill="auto"/>
          </w:tcPr>
          <w:p w14:paraId="5BE1A68B" w14:textId="44FB739E" w:rsidR="00824A03" w:rsidRPr="00EC5095" w:rsidRDefault="00F16A1B" w:rsidP="00EC5095">
            <w:pPr>
              <w:contextualSpacing/>
              <w:jc w:val="center"/>
              <w:rPr>
                <w:szCs w:val="24"/>
                <w:lang w:eastAsia="lt-LT"/>
              </w:rPr>
            </w:pPr>
            <w:r w:rsidRPr="00EC5095">
              <w:rPr>
                <w:szCs w:val="24"/>
                <w:lang w:eastAsia="lt-LT"/>
              </w:rPr>
              <w:t>0,00</w:t>
            </w:r>
          </w:p>
        </w:tc>
      </w:tr>
      <w:tr w:rsidR="00287BEF" w:rsidRPr="00EC5095" w14:paraId="61971A7C" w14:textId="77777777" w:rsidTr="002A47E9">
        <w:trPr>
          <w:cantSplit/>
          <w:trHeight w:val="70"/>
        </w:trPr>
        <w:tc>
          <w:tcPr>
            <w:tcW w:w="6516" w:type="dxa"/>
            <w:gridSpan w:val="5"/>
            <w:shd w:val="clear" w:color="auto" w:fill="auto"/>
          </w:tcPr>
          <w:p w14:paraId="76724FC1" w14:textId="03F40432" w:rsidR="00287BEF" w:rsidRPr="00EC5095" w:rsidRDefault="00287BEF" w:rsidP="00EC5095">
            <w:pPr>
              <w:contextualSpacing/>
              <w:jc w:val="right"/>
              <w:rPr>
                <w:szCs w:val="24"/>
                <w:lang w:eastAsia="lt-LT"/>
              </w:rPr>
            </w:pPr>
            <w:r w:rsidRPr="00EC5095">
              <w:rPr>
                <w:b/>
                <w:szCs w:val="24"/>
                <w:lang w:eastAsia="lt-LT"/>
              </w:rPr>
              <w:t>Iš viso:</w:t>
            </w:r>
          </w:p>
        </w:tc>
        <w:tc>
          <w:tcPr>
            <w:tcW w:w="851" w:type="dxa"/>
            <w:shd w:val="clear" w:color="auto" w:fill="auto"/>
          </w:tcPr>
          <w:p w14:paraId="1A6A974D" w14:textId="4351977A" w:rsidR="00287BEF" w:rsidRPr="00EC5095" w:rsidRDefault="00287BEF" w:rsidP="00EC5095">
            <w:pPr>
              <w:contextualSpacing/>
              <w:jc w:val="center"/>
              <w:rPr>
                <w:szCs w:val="24"/>
                <w:lang w:eastAsia="lt-LT"/>
              </w:rPr>
            </w:pPr>
            <w:r w:rsidRPr="00EC5095">
              <w:rPr>
                <w:b/>
                <w:szCs w:val="24"/>
                <w:lang w:eastAsia="lt-LT"/>
              </w:rPr>
              <w:t>1</w:t>
            </w:r>
          </w:p>
        </w:tc>
        <w:tc>
          <w:tcPr>
            <w:tcW w:w="1122" w:type="dxa"/>
            <w:shd w:val="clear" w:color="auto" w:fill="auto"/>
          </w:tcPr>
          <w:p w14:paraId="063B25F0" w14:textId="2C2D0EB2" w:rsidR="00287BEF" w:rsidRPr="00EC5095" w:rsidRDefault="00287BEF" w:rsidP="00EC5095">
            <w:pPr>
              <w:contextualSpacing/>
              <w:jc w:val="right"/>
              <w:rPr>
                <w:szCs w:val="24"/>
                <w:lang w:eastAsia="lt-LT"/>
              </w:rPr>
            </w:pPr>
            <w:r w:rsidRPr="00EC5095">
              <w:rPr>
                <w:b/>
                <w:szCs w:val="24"/>
                <w:lang w:eastAsia="lt-LT"/>
              </w:rPr>
              <w:t>325,53</w:t>
            </w:r>
          </w:p>
        </w:tc>
        <w:tc>
          <w:tcPr>
            <w:tcW w:w="1004" w:type="dxa"/>
            <w:shd w:val="clear" w:color="auto" w:fill="auto"/>
          </w:tcPr>
          <w:p w14:paraId="262B2E2C" w14:textId="5799814E" w:rsidR="00287BEF" w:rsidRPr="00EC5095" w:rsidRDefault="00287BEF" w:rsidP="00EC5095">
            <w:pPr>
              <w:contextualSpacing/>
              <w:jc w:val="center"/>
              <w:rPr>
                <w:szCs w:val="24"/>
                <w:lang w:eastAsia="lt-LT"/>
              </w:rPr>
            </w:pPr>
            <w:r w:rsidRPr="00EC5095">
              <w:rPr>
                <w:b/>
                <w:szCs w:val="24"/>
                <w:lang w:eastAsia="lt-LT"/>
              </w:rPr>
              <w:t>0,00</w:t>
            </w:r>
          </w:p>
        </w:tc>
      </w:tr>
    </w:tbl>
    <w:p w14:paraId="4FF1DB97" w14:textId="77777777" w:rsidR="00824A03" w:rsidRPr="00EC5095" w:rsidRDefault="00824A03" w:rsidP="00EC5095">
      <w:pPr>
        <w:contextualSpacing/>
        <w:jc w:val="center"/>
        <w:rPr>
          <w:b/>
        </w:rPr>
      </w:pPr>
    </w:p>
    <w:sectPr w:rsidR="00824A03" w:rsidRPr="00EC5095" w:rsidSect="00EC509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4FBD" w14:textId="77777777" w:rsidR="00A2355A" w:rsidRDefault="00A2355A">
      <w:pPr>
        <w:rPr>
          <w:szCs w:val="24"/>
          <w:lang w:eastAsia="lt-LT"/>
        </w:rPr>
      </w:pPr>
      <w:r>
        <w:rPr>
          <w:szCs w:val="24"/>
          <w:lang w:eastAsia="lt-LT"/>
        </w:rPr>
        <w:separator/>
      </w:r>
    </w:p>
  </w:endnote>
  <w:endnote w:type="continuationSeparator" w:id="0">
    <w:p w14:paraId="4468B03C" w14:textId="77777777" w:rsidR="00A2355A" w:rsidRDefault="00A2355A">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D055"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D001"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56AE"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A676" w14:textId="77777777" w:rsidR="00A2355A" w:rsidRDefault="00A2355A">
      <w:pPr>
        <w:rPr>
          <w:szCs w:val="24"/>
          <w:lang w:eastAsia="lt-LT"/>
        </w:rPr>
      </w:pPr>
      <w:r>
        <w:rPr>
          <w:szCs w:val="24"/>
          <w:lang w:eastAsia="lt-LT"/>
        </w:rPr>
        <w:separator/>
      </w:r>
    </w:p>
  </w:footnote>
  <w:footnote w:type="continuationSeparator" w:id="0">
    <w:p w14:paraId="7D3DCB87" w14:textId="77777777" w:rsidR="00A2355A" w:rsidRDefault="00A2355A">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60B4"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03D4BE8C"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4AB0" w14:textId="77777777" w:rsidR="00001E58" w:rsidRDefault="00001E58">
    <w:pPr>
      <w:framePr w:wrap="auto" w:vAnchor="text" w:hAnchor="margin" w:xAlign="center" w:y="1"/>
      <w:tabs>
        <w:tab w:val="center" w:pos="4819"/>
        <w:tab w:val="right" w:pos="9638"/>
      </w:tabs>
      <w:rPr>
        <w:szCs w:val="24"/>
        <w:lang w:eastAsia="lt-LT"/>
      </w:rPr>
    </w:pPr>
  </w:p>
  <w:p w14:paraId="04FF2260" w14:textId="77777777" w:rsidR="00001E58" w:rsidRDefault="00001E58">
    <w:pPr>
      <w:framePr w:wrap="auto" w:vAnchor="text" w:hAnchor="margin" w:xAlign="center" w:y="1"/>
      <w:tabs>
        <w:tab w:val="center" w:pos="4819"/>
        <w:tab w:val="right" w:pos="9638"/>
      </w:tabs>
      <w:rPr>
        <w:szCs w:val="24"/>
        <w:lang w:eastAsia="lt-LT"/>
      </w:rPr>
    </w:pPr>
  </w:p>
  <w:p w14:paraId="4AD66795"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4EF7"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43206"/>
    <w:rsid w:val="00054F56"/>
    <w:rsid w:val="0007250C"/>
    <w:rsid w:val="00084406"/>
    <w:rsid w:val="000B3EAC"/>
    <w:rsid w:val="000D6CB4"/>
    <w:rsid w:val="000E676E"/>
    <w:rsid w:val="000F3D01"/>
    <w:rsid w:val="00210374"/>
    <w:rsid w:val="002204DC"/>
    <w:rsid w:val="0022113F"/>
    <w:rsid w:val="0024682A"/>
    <w:rsid w:val="00246972"/>
    <w:rsid w:val="00256EC1"/>
    <w:rsid w:val="00287BEF"/>
    <w:rsid w:val="002904A0"/>
    <w:rsid w:val="002A47E9"/>
    <w:rsid w:val="002E4038"/>
    <w:rsid w:val="0030703D"/>
    <w:rsid w:val="00342073"/>
    <w:rsid w:val="00342FFC"/>
    <w:rsid w:val="003861EF"/>
    <w:rsid w:val="003A700C"/>
    <w:rsid w:val="003E0840"/>
    <w:rsid w:val="004351BC"/>
    <w:rsid w:val="00457EC9"/>
    <w:rsid w:val="004A46B5"/>
    <w:rsid w:val="005125EF"/>
    <w:rsid w:val="00545EC2"/>
    <w:rsid w:val="00583999"/>
    <w:rsid w:val="00616C53"/>
    <w:rsid w:val="006560FF"/>
    <w:rsid w:val="006955D2"/>
    <w:rsid w:val="006E1969"/>
    <w:rsid w:val="00714CEB"/>
    <w:rsid w:val="00817D85"/>
    <w:rsid w:val="00824A03"/>
    <w:rsid w:val="00887FCB"/>
    <w:rsid w:val="008C667F"/>
    <w:rsid w:val="008E16A2"/>
    <w:rsid w:val="009058D7"/>
    <w:rsid w:val="00930D86"/>
    <w:rsid w:val="0098025E"/>
    <w:rsid w:val="0099690D"/>
    <w:rsid w:val="009A64B6"/>
    <w:rsid w:val="00A16177"/>
    <w:rsid w:val="00A2355A"/>
    <w:rsid w:val="00AE3E61"/>
    <w:rsid w:val="00B133DD"/>
    <w:rsid w:val="00B6114E"/>
    <w:rsid w:val="00B63568"/>
    <w:rsid w:val="00B67C71"/>
    <w:rsid w:val="00BA6B55"/>
    <w:rsid w:val="00BC3AE9"/>
    <w:rsid w:val="00BD4C29"/>
    <w:rsid w:val="00C029DE"/>
    <w:rsid w:val="00C20D42"/>
    <w:rsid w:val="00C24B45"/>
    <w:rsid w:val="00CD62F8"/>
    <w:rsid w:val="00CF40A8"/>
    <w:rsid w:val="00D00C2C"/>
    <w:rsid w:val="00D07D7D"/>
    <w:rsid w:val="00DD55B7"/>
    <w:rsid w:val="00DE4418"/>
    <w:rsid w:val="00E27BF5"/>
    <w:rsid w:val="00E6152F"/>
    <w:rsid w:val="00E81EE1"/>
    <w:rsid w:val="00EA4B21"/>
    <w:rsid w:val="00EC5095"/>
    <w:rsid w:val="00EC5A83"/>
    <w:rsid w:val="00EC6D35"/>
    <w:rsid w:val="00ED156D"/>
    <w:rsid w:val="00EE3A39"/>
    <w:rsid w:val="00F16A1B"/>
    <w:rsid w:val="00FB67EF"/>
    <w:rsid w:val="00FF07D3"/>
    <w:rsid w:val="00FF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A0087"/>
  <w15:docId w15:val="{68BCD94A-EE5F-4805-8709-ABCA0558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824A03"/>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29815">
      <w:bodyDiv w:val="1"/>
      <w:marLeft w:val="0"/>
      <w:marRight w:val="0"/>
      <w:marTop w:val="0"/>
      <w:marBottom w:val="0"/>
      <w:divBdr>
        <w:top w:val="none" w:sz="0" w:space="0" w:color="auto"/>
        <w:left w:val="none" w:sz="0" w:space="0" w:color="auto"/>
        <w:bottom w:val="none" w:sz="0" w:space="0" w:color="auto"/>
        <w:right w:val="none" w:sz="0" w:space="0" w:color="auto"/>
      </w:divBdr>
    </w:div>
    <w:div w:id="189846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F435-D46B-408D-A233-6A97F8A0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1551</Words>
  <Characters>885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2432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4</cp:revision>
  <cp:lastPrinted>2012-06-07T11:59:00Z</cp:lastPrinted>
  <dcterms:created xsi:type="dcterms:W3CDTF">2025-02-24T14:52:00Z</dcterms:created>
  <dcterms:modified xsi:type="dcterms:W3CDTF">2025-02-25T07:52:00Z</dcterms:modified>
</cp:coreProperties>
</file>