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B2A7" w14:textId="77777777" w:rsidR="00CE4FAA" w:rsidRPr="0092626A" w:rsidRDefault="00CE4FAA" w:rsidP="0092626A">
      <w:pPr>
        <w:contextualSpacing/>
        <w:jc w:val="right"/>
        <w:rPr>
          <w:b/>
          <w:bCs/>
        </w:rPr>
      </w:pPr>
      <w:r w:rsidRPr="0092626A">
        <w:rPr>
          <w:b/>
          <w:bCs/>
        </w:rPr>
        <w:t>Projektas</w:t>
      </w:r>
    </w:p>
    <w:p w14:paraId="7B2E6D09" w14:textId="5E466781" w:rsidR="00CC7B0A" w:rsidRPr="0092626A" w:rsidRDefault="00CC7B0A" w:rsidP="0092626A">
      <w:pPr>
        <w:contextualSpacing/>
        <w:jc w:val="center"/>
      </w:pPr>
      <w:r w:rsidRPr="0092626A">
        <w:object w:dxaOrig="1056" w:dyaOrig="1229" w14:anchorId="7025F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7" o:title=""/>
          </v:shape>
          <o:OLEObject Type="Embed" ProgID="Word.Picture.8" ShapeID="_x0000_i1025" DrawAspect="Content" ObjectID="_1812194989" r:id="rId8"/>
        </w:object>
      </w:r>
    </w:p>
    <w:p w14:paraId="3F19F492" w14:textId="77777777" w:rsidR="00CC7B0A" w:rsidRPr="0092626A" w:rsidRDefault="00CC7B0A" w:rsidP="0092626A">
      <w:pPr>
        <w:contextualSpacing/>
        <w:jc w:val="center"/>
        <w:rPr>
          <w:b/>
          <w:lang w:eastAsia="lt-LT"/>
        </w:rPr>
      </w:pPr>
    </w:p>
    <w:p w14:paraId="61C85A15" w14:textId="77777777" w:rsidR="00CC7B0A" w:rsidRPr="0092626A" w:rsidRDefault="00CC7B0A" w:rsidP="0092626A">
      <w:pPr>
        <w:contextualSpacing/>
        <w:jc w:val="center"/>
        <w:rPr>
          <w:b/>
          <w:bCs/>
          <w:caps/>
          <w:szCs w:val="24"/>
          <w:lang w:eastAsia="ar-SA"/>
        </w:rPr>
      </w:pPr>
      <w:r w:rsidRPr="0092626A">
        <w:rPr>
          <w:b/>
          <w:bCs/>
          <w:caps/>
          <w:szCs w:val="24"/>
          <w:lang w:eastAsia="ar-SA"/>
        </w:rPr>
        <w:t>kėdainių rajono savivaldybėS TARYBA</w:t>
      </w:r>
    </w:p>
    <w:p w14:paraId="5E34B7AF" w14:textId="77777777" w:rsidR="00CC7B0A" w:rsidRPr="0092626A" w:rsidRDefault="00CC7B0A" w:rsidP="0092626A">
      <w:pPr>
        <w:contextualSpacing/>
        <w:jc w:val="center"/>
        <w:rPr>
          <w:b/>
          <w:lang w:eastAsia="lt-LT"/>
        </w:rPr>
      </w:pPr>
    </w:p>
    <w:p w14:paraId="48202DFD" w14:textId="77777777" w:rsidR="00500F9C" w:rsidRPr="0092626A" w:rsidRDefault="00500F9C" w:rsidP="0092626A">
      <w:pPr>
        <w:contextualSpacing/>
        <w:jc w:val="center"/>
        <w:rPr>
          <w:b/>
          <w:bCs/>
          <w:lang w:eastAsia="lt-LT"/>
        </w:rPr>
      </w:pPr>
      <w:r w:rsidRPr="0092626A">
        <w:rPr>
          <w:b/>
          <w:bCs/>
          <w:lang w:eastAsia="lt-LT"/>
        </w:rPr>
        <w:t>SPRENDIMAS</w:t>
      </w:r>
    </w:p>
    <w:p w14:paraId="1591260B" w14:textId="77777777" w:rsidR="00500F9C" w:rsidRPr="0092626A" w:rsidRDefault="00500F9C" w:rsidP="0092626A">
      <w:pPr>
        <w:contextualSpacing/>
        <w:jc w:val="center"/>
        <w:rPr>
          <w:b/>
          <w:bCs/>
          <w:lang w:eastAsia="lt-LT"/>
        </w:rPr>
      </w:pPr>
      <w:r w:rsidRPr="0092626A">
        <w:rPr>
          <w:b/>
          <w:bCs/>
          <w:lang w:eastAsia="lt-LT"/>
        </w:rPr>
        <w:t xml:space="preserve">DĖL KĖDAINIŲ RAJONO SAVIVALDYBĖS TARYBOS 2025 M. BALANDŽIO 25 D. SPRENDIMO NR. TS-145 „DĖL KĖDAINIŲ RAJONO SAVIVALDYBĖS 2025 METŲ KELIŲ PRIEŽIŪROS IR PLĖTROS PROGRAMOS OBJEKTŲ SĄRAŠO PATVIRTINIMO“ PAKEITIMO </w:t>
      </w:r>
    </w:p>
    <w:p w14:paraId="257D5A0A" w14:textId="77777777" w:rsidR="00500F9C" w:rsidRPr="0092626A" w:rsidRDefault="00500F9C" w:rsidP="0092626A">
      <w:pPr>
        <w:contextualSpacing/>
        <w:jc w:val="center"/>
        <w:rPr>
          <w:b/>
        </w:rPr>
      </w:pPr>
    </w:p>
    <w:p w14:paraId="381D065F" w14:textId="40E2FE94" w:rsidR="00CC7B0A" w:rsidRPr="0092626A" w:rsidRDefault="0092626A" w:rsidP="0092626A">
      <w:pPr>
        <w:contextualSpacing/>
        <w:jc w:val="center"/>
        <w:rPr>
          <w:szCs w:val="24"/>
        </w:rPr>
      </w:pPr>
      <w:r w:rsidRPr="0092626A">
        <w:rPr>
          <w:szCs w:val="24"/>
        </w:rPr>
        <w:t>2025 m. birželio 20 d. Nr. SP-</w:t>
      </w:r>
      <w:r w:rsidRPr="0092626A">
        <w:rPr>
          <w:szCs w:val="24"/>
        </w:rPr>
        <w:t>230</w:t>
      </w:r>
    </w:p>
    <w:p w14:paraId="35C64C8A" w14:textId="0920A1BA" w:rsidR="0092626A" w:rsidRPr="0092626A" w:rsidRDefault="0092626A" w:rsidP="0092626A">
      <w:pPr>
        <w:contextualSpacing/>
        <w:jc w:val="center"/>
        <w:rPr>
          <w:szCs w:val="24"/>
        </w:rPr>
      </w:pPr>
      <w:r w:rsidRPr="0092626A">
        <w:rPr>
          <w:szCs w:val="24"/>
        </w:rPr>
        <w:t>Kėdainiai</w:t>
      </w:r>
    </w:p>
    <w:p w14:paraId="5DE5DBDE" w14:textId="77777777" w:rsidR="0092626A" w:rsidRPr="0092626A" w:rsidRDefault="0092626A" w:rsidP="0092626A">
      <w:pPr>
        <w:contextualSpacing/>
        <w:rPr>
          <w:color w:val="FF0000"/>
        </w:rPr>
      </w:pPr>
    </w:p>
    <w:p w14:paraId="5191E30A" w14:textId="612ADD31" w:rsidR="003D7174" w:rsidRPr="0092626A" w:rsidRDefault="003D7174" w:rsidP="0092626A">
      <w:pPr>
        <w:ind w:firstLine="709"/>
        <w:contextualSpacing/>
        <w:jc w:val="both"/>
        <w:rPr>
          <w:lang w:eastAsia="lt-LT"/>
        </w:rPr>
      </w:pPr>
      <w:bookmarkStart w:id="0" w:name="_Hlk201037895"/>
      <w:r w:rsidRPr="0092626A">
        <w:rPr>
          <w:lang w:eastAsia="lt-LT"/>
        </w:rPr>
        <w:t xml:space="preserve">Kėdainių rajono savivaldybės taryba  </w:t>
      </w:r>
      <w:r w:rsidR="0092626A" w:rsidRPr="0092626A">
        <w:rPr>
          <w:spacing w:val="60"/>
          <w:szCs w:val="24"/>
        </w:rPr>
        <w:t>nusprendži</w:t>
      </w:r>
      <w:r w:rsidR="0092626A" w:rsidRPr="0092626A">
        <w:rPr>
          <w:szCs w:val="24"/>
        </w:rPr>
        <w:t>a:</w:t>
      </w:r>
    </w:p>
    <w:bookmarkEnd w:id="0"/>
    <w:p w14:paraId="7D94D3E5" w14:textId="5EAF32E7" w:rsidR="003D7174" w:rsidRPr="0092626A" w:rsidRDefault="003D7174" w:rsidP="0092626A">
      <w:pPr>
        <w:contextualSpacing/>
        <w:jc w:val="both"/>
        <w:rPr>
          <w:szCs w:val="24"/>
          <w:lang w:eastAsia="lt-LT"/>
        </w:rPr>
      </w:pPr>
      <w:r w:rsidRPr="0092626A">
        <w:tab/>
        <w:t>Pakeisti Kėdainių rajono savivaldybės 2025 metų Kelių priežiūros ir plėtros programos objektų sąrašą, patvirtintą</w:t>
      </w:r>
      <w:r w:rsidR="00B268A2" w:rsidRPr="0092626A">
        <w:t xml:space="preserve"> </w:t>
      </w:r>
      <w:r w:rsidR="00B268A2" w:rsidRPr="0092626A">
        <w:rPr>
          <w:szCs w:val="24"/>
          <w:lang w:eastAsia="lt-LT"/>
        </w:rPr>
        <w:t>Kėdainių rajono savivaldybės tarybos 2025 m. balandžio 25 d. sprendimu Nr. TS-145 „Dėl Kėdainių rajono savivaldybės 2025 metų Kelių priežiūros ir plėtros programos objektų sąrašo patvirtinimo“</w:t>
      </w:r>
      <w:r w:rsidR="00500F9C" w:rsidRPr="0092626A">
        <w:rPr>
          <w:szCs w:val="24"/>
          <w:lang w:eastAsia="lt-LT"/>
        </w:rPr>
        <w:t xml:space="preserve"> ir 4 punktą išdėstyti taip</w:t>
      </w:r>
      <w:r w:rsidR="00B268A2" w:rsidRPr="0092626A">
        <w:rPr>
          <w:szCs w:val="24"/>
          <w:lang w:eastAsia="lt-LT"/>
        </w:rPr>
        <w:t>:</w:t>
      </w:r>
    </w:p>
    <w:p w14:paraId="30F799F7" w14:textId="77777777" w:rsidR="00835460" w:rsidRPr="0092626A" w:rsidRDefault="00835460" w:rsidP="0092626A">
      <w:pPr>
        <w:contextualSpacing/>
        <w:jc w:val="both"/>
        <w:rPr>
          <w:szCs w:val="24"/>
          <w:lang w:eastAsia="lt-L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820"/>
        <w:gridCol w:w="1842"/>
        <w:gridCol w:w="1134"/>
        <w:gridCol w:w="1418"/>
      </w:tblGrid>
      <w:tr w:rsidR="00500F9C" w:rsidRPr="0092626A" w14:paraId="08101FDD" w14:textId="77777777" w:rsidTr="00500F9C">
        <w:trPr>
          <w:jc w:val="center"/>
        </w:trPr>
        <w:tc>
          <w:tcPr>
            <w:tcW w:w="9918" w:type="dxa"/>
            <w:gridSpan w:val="5"/>
          </w:tcPr>
          <w:p w14:paraId="1E42E9CD" w14:textId="643D3FB1" w:rsidR="00500F9C" w:rsidRPr="0092626A" w:rsidRDefault="00500F9C" w:rsidP="0092626A">
            <w:pPr>
              <w:contextualSpacing/>
              <w:jc w:val="center"/>
              <w:rPr>
                <w:b/>
                <w:szCs w:val="24"/>
              </w:rPr>
            </w:pPr>
            <w:r w:rsidRPr="0092626A">
              <w:rPr>
                <w:b/>
                <w:szCs w:val="24"/>
              </w:rPr>
              <w:t>„4. Kėdainių miesto seniūnija</w:t>
            </w:r>
          </w:p>
        </w:tc>
      </w:tr>
      <w:tr w:rsidR="00500F9C" w:rsidRPr="0092626A" w14:paraId="56AF40D3" w14:textId="77777777" w:rsidTr="00500F9C">
        <w:trPr>
          <w:jc w:val="center"/>
        </w:trPr>
        <w:tc>
          <w:tcPr>
            <w:tcW w:w="704" w:type="dxa"/>
          </w:tcPr>
          <w:p w14:paraId="6DA32937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4.1.</w:t>
            </w:r>
          </w:p>
        </w:tc>
        <w:tc>
          <w:tcPr>
            <w:tcW w:w="4820" w:type="dxa"/>
          </w:tcPr>
          <w:p w14:paraId="27710B35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Seniūnijos keliai ir gatvės su asfaltbetonio danga  (išdaužų užtaisymas)</w:t>
            </w:r>
          </w:p>
        </w:tc>
        <w:tc>
          <w:tcPr>
            <w:tcW w:w="1842" w:type="dxa"/>
          </w:tcPr>
          <w:p w14:paraId="36C7BD35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 xml:space="preserve">Priežiūra </w:t>
            </w:r>
          </w:p>
        </w:tc>
        <w:tc>
          <w:tcPr>
            <w:tcW w:w="1134" w:type="dxa"/>
          </w:tcPr>
          <w:p w14:paraId="27B262A3" w14:textId="77777777" w:rsidR="00500F9C" w:rsidRPr="0092626A" w:rsidRDefault="00500F9C" w:rsidP="0092626A">
            <w:pPr>
              <w:contextualSpacing/>
              <w:jc w:val="center"/>
              <w:rPr>
                <w:szCs w:val="24"/>
                <w:vertAlign w:val="superscript"/>
              </w:rPr>
            </w:pPr>
            <w:r w:rsidRPr="0092626A">
              <w:rPr>
                <w:szCs w:val="24"/>
              </w:rPr>
              <w:t>3000 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8790B31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90,750</w:t>
            </w:r>
          </w:p>
        </w:tc>
      </w:tr>
      <w:tr w:rsidR="00500F9C" w:rsidRPr="0092626A" w14:paraId="771C0630" w14:textId="77777777" w:rsidTr="00500F9C">
        <w:trPr>
          <w:trHeight w:val="423"/>
          <w:jc w:val="center"/>
        </w:trPr>
        <w:tc>
          <w:tcPr>
            <w:tcW w:w="704" w:type="dxa"/>
          </w:tcPr>
          <w:p w14:paraId="1C56C4EF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4.2.</w:t>
            </w:r>
          </w:p>
        </w:tc>
        <w:tc>
          <w:tcPr>
            <w:tcW w:w="4820" w:type="dxa"/>
          </w:tcPr>
          <w:p w14:paraId="47CDB5FA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KD-9, Kėdainių m. sen., pravažiavimo kelio tarp VRK Nr. 144 ir VRK Nr. 2006 asfaltbetonio dangos atnaujinimas (iki Jovarų g.)</w:t>
            </w:r>
          </w:p>
        </w:tc>
        <w:tc>
          <w:tcPr>
            <w:tcW w:w="1842" w:type="dxa"/>
          </w:tcPr>
          <w:p w14:paraId="39CB17A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Paprastasis remontas</w:t>
            </w:r>
          </w:p>
        </w:tc>
        <w:tc>
          <w:tcPr>
            <w:tcW w:w="1134" w:type="dxa"/>
          </w:tcPr>
          <w:p w14:paraId="3F5747B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3100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F14AC20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78,289</w:t>
            </w:r>
          </w:p>
        </w:tc>
      </w:tr>
      <w:tr w:rsidR="00500F9C" w:rsidRPr="0092626A" w14:paraId="6E954AF8" w14:textId="77777777" w:rsidTr="00500F9C">
        <w:trPr>
          <w:jc w:val="center"/>
        </w:trPr>
        <w:tc>
          <w:tcPr>
            <w:tcW w:w="704" w:type="dxa"/>
          </w:tcPr>
          <w:p w14:paraId="092652FB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4.3.</w:t>
            </w:r>
          </w:p>
        </w:tc>
        <w:tc>
          <w:tcPr>
            <w:tcW w:w="4820" w:type="dxa"/>
          </w:tcPr>
          <w:p w14:paraId="1E4A1E42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KDG005, Kėdainių m., Aruodų g. (4400-2044-0720) asfaltbetonio dangos atnaujinimas</w:t>
            </w:r>
          </w:p>
        </w:tc>
        <w:tc>
          <w:tcPr>
            <w:tcW w:w="1842" w:type="dxa"/>
          </w:tcPr>
          <w:p w14:paraId="1C7790DC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Paprastasis remontas</w:t>
            </w:r>
          </w:p>
        </w:tc>
        <w:tc>
          <w:tcPr>
            <w:tcW w:w="1134" w:type="dxa"/>
          </w:tcPr>
          <w:p w14:paraId="31FD1B51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1000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B567361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29,718</w:t>
            </w:r>
          </w:p>
        </w:tc>
      </w:tr>
      <w:tr w:rsidR="00500F9C" w:rsidRPr="0092626A" w14:paraId="2F3DD0BF" w14:textId="77777777" w:rsidTr="00500F9C">
        <w:trPr>
          <w:jc w:val="center"/>
        </w:trPr>
        <w:tc>
          <w:tcPr>
            <w:tcW w:w="704" w:type="dxa"/>
          </w:tcPr>
          <w:p w14:paraId="7069FA50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4.4.</w:t>
            </w:r>
          </w:p>
        </w:tc>
        <w:tc>
          <w:tcPr>
            <w:tcW w:w="4820" w:type="dxa"/>
          </w:tcPr>
          <w:p w14:paraId="2CB4B065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KDG113, Kėdainiai, V. Svirskio g. </w:t>
            </w:r>
          </w:p>
        </w:tc>
        <w:tc>
          <w:tcPr>
            <w:tcW w:w="1842" w:type="dxa"/>
          </w:tcPr>
          <w:p w14:paraId="2ADFEABC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6B3CF22E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1960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247957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41,110</w:t>
            </w:r>
          </w:p>
        </w:tc>
      </w:tr>
      <w:tr w:rsidR="00500F9C" w:rsidRPr="0092626A" w14:paraId="2F20303C" w14:textId="77777777" w:rsidTr="00500F9C">
        <w:trPr>
          <w:jc w:val="center"/>
        </w:trPr>
        <w:tc>
          <w:tcPr>
            <w:tcW w:w="704" w:type="dxa"/>
          </w:tcPr>
          <w:p w14:paraId="717DF30B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4.5.</w:t>
            </w:r>
          </w:p>
        </w:tc>
        <w:tc>
          <w:tcPr>
            <w:tcW w:w="4820" w:type="dxa"/>
          </w:tcPr>
          <w:p w14:paraId="07E1EE07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KDG037, KDG165, Kėdainiai, Janušavos g. (nuo Skroblų g. iki Gedimino g.) </w:t>
            </w:r>
          </w:p>
        </w:tc>
        <w:tc>
          <w:tcPr>
            <w:tcW w:w="1842" w:type="dxa"/>
          </w:tcPr>
          <w:p w14:paraId="01752DEE" w14:textId="77777777" w:rsidR="00500F9C" w:rsidRPr="0092626A" w:rsidRDefault="00500F9C" w:rsidP="0092626A">
            <w:pPr>
              <w:contextualSpacing/>
              <w:jc w:val="center"/>
              <w:rPr>
                <w:color w:val="000000" w:themeColor="text1"/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Rekonstravimas</w:t>
            </w:r>
          </w:p>
          <w:p w14:paraId="076FBD76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4C3FB9B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7483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ABFCC09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187,730</w:t>
            </w:r>
          </w:p>
          <w:p w14:paraId="5B037805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</w:p>
        </w:tc>
      </w:tr>
      <w:tr w:rsidR="00500F9C" w:rsidRPr="0092626A" w14:paraId="011FB896" w14:textId="77777777" w:rsidTr="00500F9C">
        <w:trPr>
          <w:jc w:val="center"/>
        </w:trPr>
        <w:tc>
          <w:tcPr>
            <w:tcW w:w="704" w:type="dxa"/>
          </w:tcPr>
          <w:p w14:paraId="00E72E2A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4.6.</w:t>
            </w:r>
          </w:p>
        </w:tc>
        <w:tc>
          <w:tcPr>
            <w:tcW w:w="4820" w:type="dxa"/>
          </w:tcPr>
          <w:p w14:paraId="3FE2B5DC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KDG007, Kėdainiai, Aušros g. (nuo Palangos g. iki Laisvės g.) </w:t>
            </w:r>
          </w:p>
        </w:tc>
        <w:tc>
          <w:tcPr>
            <w:tcW w:w="1842" w:type="dxa"/>
          </w:tcPr>
          <w:p w14:paraId="77678007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58A7804E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2355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02647DC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239,000</w:t>
            </w:r>
          </w:p>
          <w:p w14:paraId="379F9B90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</w:p>
        </w:tc>
      </w:tr>
      <w:tr w:rsidR="00500F9C" w:rsidRPr="0092626A" w14:paraId="22CE3DC1" w14:textId="77777777" w:rsidTr="00500F9C">
        <w:trPr>
          <w:jc w:val="center"/>
        </w:trPr>
        <w:tc>
          <w:tcPr>
            <w:tcW w:w="704" w:type="dxa"/>
          </w:tcPr>
          <w:p w14:paraId="38F8FABB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4.7.</w:t>
            </w:r>
          </w:p>
        </w:tc>
        <w:tc>
          <w:tcPr>
            <w:tcW w:w="4820" w:type="dxa"/>
          </w:tcPr>
          <w:p w14:paraId="42B7A02A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KDG025, Kėdainiai, Dvaro g. (nuo Gedimino g. iki Lakštingalų g.) </w:t>
            </w:r>
          </w:p>
        </w:tc>
        <w:tc>
          <w:tcPr>
            <w:tcW w:w="1842" w:type="dxa"/>
          </w:tcPr>
          <w:p w14:paraId="19885476" w14:textId="43F13CF0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Kapitalinis remontas</w:t>
            </w:r>
            <w:r w:rsidR="009D14FB" w:rsidRPr="0092626A">
              <w:rPr>
                <w:color w:val="000000" w:themeColor="text1"/>
                <w:szCs w:val="24"/>
              </w:rPr>
              <w:t>, paprastasis remontas</w:t>
            </w:r>
            <w:r w:rsidRPr="0092626A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E1CE73F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2320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F8956A9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114,434</w:t>
            </w:r>
          </w:p>
        </w:tc>
      </w:tr>
      <w:tr w:rsidR="00500F9C" w:rsidRPr="0092626A" w14:paraId="27CB7901" w14:textId="77777777" w:rsidTr="00500F9C">
        <w:trPr>
          <w:jc w:val="center"/>
        </w:trPr>
        <w:tc>
          <w:tcPr>
            <w:tcW w:w="704" w:type="dxa"/>
          </w:tcPr>
          <w:p w14:paraId="5D23DCF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4.8.</w:t>
            </w:r>
          </w:p>
        </w:tc>
        <w:tc>
          <w:tcPr>
            <w:tcW w:w="4820" w:type="dxa"/>
          </w:tcPr>
          <w:p w14:paraId="43E0F75A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KDG054, Kėdainiai, Kosmonautų g. akligatviai </w:t>
            </w:r>
          </w:p>
        </w:tc>
        <w:tc>
          <w:tcPr>
            <w:tcW w:w="1842" w:type="dxa"/>
          </w:tcPr>
          <w:p w14:paraId="287E08B2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062055B5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2750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914A359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282,470</w:t>
            </w:r>
          </w:p>
        </w:tc>
      </w:tr>
      <w:tr w:rsidR="00500F9C" w:rsidRPr="0092626A" w14:paraId="3210C336" w14:textId="77777777" w:rsidTr="00500F9C">
        <w:trPr>
          <w:jc w:val="center"/>
        </w:trPr>
        <w:tc>
          <w:tcPr>
            <w:tcW w:w="704" w:type="dxa"/>
          </w:tcPr>
          <w:p w14:paraId="43EDF5F4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4.9.</w:t>
            </w:r>
          </w:p>
        </w:tc>
        <w:tc>
          <w:tcPr>
            <w:tcW w:w="4820" w:type="dxa"/>
          </w:tcPr>
          <w:p w14:paraId="1B015C46" w14:textId="77777777" w:rsidR="00500F9C" w:rsidRPr="0092626A" w:rsidRDefault="00500F9C" w:rsidP="0092626A">
            <w:pPr>
              <w:contextualSpacing/>
              <w:rPr>
                <w:color w:val="000000" w:themeColor="text1"/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KDG029, Kėdainiai, Elevatoriaus g.</w:t>
            </w:r>
          </w:p>
        </w:tc>
        <w:tc>
          <w:tcPr>
            <w:tcW w:w="1842" w:type="dxa"/>
          </w:tcPr>
          <w:p w14:paraId="1E3D999C" w14:textId="77777777" w:rsidR="00500F9C" w:rsidRPr="0092626A" w:rsidRDefault="00500F9C" w:rsidP="0092626A">
            <w:pPr>
              <w:contextualSpacing/>
              <w:jc w:val="center"/>
              <w:rPr>
                <w:color w:val="000000" w:themeColor="text1"/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Rekonstravimas</w:t>
            </w:r>
          </w:p>
        </w:tc>
        <w:tc>
          <w:tcPr>
            <w:tcW w:w="1134" w:type="dxa"/>
          </w:tcPr>
          <w:p w14:paraId="3C3AC7A5" w14:textId="77777777" w:rsidR="00500F9C" w:rsidRPr="0092626A" w:rsidRDefault="00500F9C" w:rsidP="0092626A">
            <w:pPr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92626A">
              <w:rPr>
                <w:color w:val="000000" w:themeColor="text1"/>
                <w:szCs w:val="24"/>
              </w:rPr>
              <w:t>2555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609D3D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112,023</w:t>
            </w:r>
          </w:p>
        </w:tc>
      </w:tr>
      <w:tr w:rsidR="00500F9C" w:rsidRPr="0092626A" w14:paraId="6C4AD41A" w14:textId="77777777" w:rsidTr="00500F9C">
        <w:trPr>
          <w:jc w:val="center"/>
        </w:trPr>
        <w:tc>
          <w:tcPr>
            <w:tcW w:w="8500" w:type="dxa"/>
            <w:gridSpan w:val="4"/>
          </w:tcPr>
          <w:p w14:paraId="481DBBDE" w14:textId="0722E333" w:rsidR="00500F9C" w:rsidRPr="0092626A" w:rsidRDefault="00500F9C" w:rsidP="0092626A">
            <w:pPr>
              <w:contextualSpacing/>
              <w:jc w:val="right"/>
              <w:rPr>
                <w:b/>
                <w:szCs w:val="24"/>
              </w:rPr>
            </w:pPr>
            <w:r w:rsidRPr="0092626A">
              <w:rPr>
                <w:b/>
                <w:szCs w:val="24"/>
              </w:rPr>
              <w:t>Iš viso:</w:t>
            </w:r>
          </w:p>
        </w:tc>
        <w:tc>
          <w:tcPr>
            <w:tcW w:w="1418" w:type="dxa"/>
          </w:tcPr>
          <w:p w14:paraId="37BD17E7" w14:textId="1CC14577" w:rsidR="00500F9C" w:rsidRPr="0092626A" w:rsidRDefault="00500F9C" w:rsidP="0092626A">
            <w:pPr>
              <w:contextualSpacing/>
              <w:jc w:val="center"/>
              <w:rPr>
                <w:b/>
                <w:szCs w:val="24"/>
              </w:rPr>
            </w:pPr>
            <w:r w:rsidRPr="0092626A">
              <w:rPr>
                <w:b/>
                <w:szCs w:val="24"/>
              </w:rPr>
              <w:t>1 175,524“</w:t>
            </w:r>
          </w:p>
        </w:tc>
      </w:tr>
    </w:tbl>
    <w:p w14:paraId="78808F3D" w14:textId="77777777" w:rsidR="00500F9C" w:rsidRPr="0092626A" w:rsidRDefault="00500F9C" w:rsidP="0092626A">
      <w:pPr>
        <w:contextualSpacing/>
        <w:jc w:val="both"/>
      </w:pPr>
    </w:p>
    <w:p w14:paraId="19E02511" w14:textId="77777777" w:rsidR="00500F9C" w:rsidRPr="0092626A" w:rsidRDefault="00500F9C" w:rsidP="0092626A">
      <w:pPr>
        <w:ind w:firstLine="720"/>
        <w:contextualSpacing/>
        <w:jc w:val="both"/>
      </w:pPr>
    </w:p>
    <w:p w14:paraId="71F9CD5B" w14:textId="17481C1D" w:rsidR="003F1464" w:rsidRPr="0092626A" w:rsidRDefault="003F1464" w:rsidP="0092626A">
      <w:pPr>
        <w:contextualSpacing/>
        <w:jc w:val="both"/>
        <w:rPr>
          <w:sz w:val="22"/>
          <w:szCs w:val="22"/>
          <w:lang w:eastAsia="lt-LT"/>
        </w:rPr>
      </w:pPr>
      <w:r w:rsidRPr="0092626A">
        <w:rPr>
          <w:sz w:val="22"/>
          <w:szCs w:val="22"/>
          <w:lang w:eastAsia="lt-LT"/>
        </w:rPr>
        <w:t>Savivaldybės meras</w:t>
      </w:r>
    </w:p>
    <w:p w14:paraId="212B288F" w14:textId="77777777" w:rsidR="00500F9C" w:rsidRPr="0092626A" w:rsidRDefault="00500F9C" w:rsidP="0092626A">
      <w:pPr>
        <w:contextualSpacing/>
      </w:pPr>
    </w:p>
    <w:p w14:paraId="4B235A9C" w14:textId="77777777" w:rsidR="00500F9C" w:rsidRPr="0092626A" w:rsidRDefault="00500F9C" w:rsidP="0092626A">
      <w:pPr>
        <w:contextualSpacing/>
      </w:pPr>
    </w:p>
    <w:p w14:paraId="14980098" w14:textId="77777777" w:rsidR="00500F9C" w:rsidRPr="0092626A" w:rsidRDefault="00500F9C" w:rsidP="0092626A">
      <w:pPr>
        <w:contextualSpacing/>
      </w:pPr>
    </w:p>
    <w:p w14:paraId="6636D134" w14:textId="77777777" w:rsidR="00835460" w:rsidRPr="0092626A" w:rsidRDefault="00835460" w:rsidP="0092626A">
      <w:pPr>
        <w:contextualSpacing/>
      </w:pPr>
    </w:p>
    <w:p w14:paraId="0CF518D3" w14:textId="77777777" w:rsidR="00500F9C" w:rsidRPr="0092626A" w:rsidRDefault="00500F9C" w:rsidP="0092626A">
      <w:pPr>
        <w:contextualSpacing/>
      </w:pPr>
    </w:p>
    <w:p w14:paraId="15B3B37A" w14:textId="77777777" w:rsidR="0092626A" w:rsidRPr="0092626A" w:rsidRDefault="0092626A" w:rsidP="0092626A">
      <w:pPr>
        <w:contextualSpacing/>
      </w:pPr>
      <w:r w:rsidRPr="0092626A">
        <w:br w:type="page"/>
      </w:r>
    </w:p>
    <w:p w14:paraId="4C362792" w14:textId="16C4C484" w:rsidR="009819F9" w:rsidRPr="0092626A" w:rsidRDefault="009819F9" w:rsidP="0092626A">
      <w:pPr>
        <w:contextualSpacing/>
      </w:pPr>
      <w:r w:rsidRPr="0092626A">
        <w:lastRenderedPageBreak/>
        <w:t>Kėdainių rajono savivaldybės tarybai</w:t>
      </w:r>
    </w:p>
    <w:p w14:paraId="0A99E014" w14:textId="74938711" w:rsidR="009819F9" w:rsidRPr="0092626A" w:rsidRDefault="009819F9" w:rsidP="0092626A">
      <w:pPr>
        <w:contextualSpacing/>
        <w:jc w:val="both"/>
      </w:pPr>
      <w:r w:rsidRPr="0092626A">
        <w:t xml:space="preserve"> </w:t>
      </w:r>
    </w:p>
    <w:p w14:paraId="13F56A76" w14:textId="77777777" w:rsidR="009819F9" w:rsidRPr="0092626A" w:rsidRDefault="009819F9" w:rsidP="0092626A">
      <w:pPr>
        <w:ind w:firstLine="680"/>
        <w:contextualSpacing/>
        <w:jc w:val="center"/>
        <w:rPr>
          <w:b/>
        </w:rPr>
      </w:pPr>
      <w:r w:rsidRPr="0092626A">
        <w:rPr>
          <w:b/>
        </w:rPr>
        <w:t>AIŠKINAMASIS RAŠTAS</w:t>
      </w:r>
    </w:p>
    <w:p w14:paraId="136E7D76" w14:textId="77777777" w:rsidR="00500F9C" w:rsidRPr="0092626A" w:rsidRDefault="00500F9C" w:rsidP="0092626A">
      <w:pPr>
        <w:contextualSpacing/>
        <w:jc w:val="center"/>
        <w:rPr>
          <w:b/>
          <w:bCs/>
          <w:lang w:eastAsia="lt-LT"/>
        </w:rPr>
      </w:pPr>
      <w:r w:rsidRPr="0092626A">
        <w:rPr>
          <w:b/>
          <w:bCs/>
          <w:lang w:eastAsia="lt-LT"/>
        </w:rPr>
        <w:t xml:space="preserve">DĖL KĖDAINIŲ RAJONO SAVIVALDYBĖS TARYBOS 2025 M. BALANDŽIO 25 D. SPRENDIMO NR. TS-145 „DĖL KĖDAINIŲ RAJONO SAVIVALDYBĖS 2025 METŲ KELIŲ PRIEŽIŪROS IR PLĖTROS PROGRAMOS OBJEKTŲ SĄRAŠO PATVIRTINIMO“ PAKEITIMO </w:t>
      </w:r>
    </w:p>
    <w:p w14:paraId="3E512059" w14:textId="77777777" w:rsidR="00AD50EB" w:rsidRPr="0092626A" w:rsidRDefault="00AD50EB" w:rsidP="0092626A">
      <w:pPr>
        <w:ind w:firstLine="4028"/>
        <w:contextualSpacing/>
      </w:pPr>
    </w:p>
    <w:p w14:paraId="5F01ACA0" w14:textId="72D05B72" w:rsidR="00AD50EB" w:rsidRPr="0092626A" w:rsidRDefault="00AD50EB" w:rsidP="0092626A">
      <w:pPr>
        <w:contextualSpacing/>
        <w:jc w:val="center"/>
      </w:pPr>
      <w:r w:rsidRPr="0092626A">
        <w:t>2025 m.                            d.</w:t>
      </w:r>
    </w:p>
    <w:p w14:paraId="5E485E33" w14:textId="77777777" w:rsidR="00AD50EB" w:rsidRPr="0092626A" w:rsidRDefault="00AD50EB" w:rsidP="0092626A">
      <w:pPr>
        <w:contextualSpacing/>
        <w:jc w:val="center"/>
      </w:pPr>
      <w:r w:rsidRPr="0092626A">
        <w:t>Kėdainiai</w:t>
      </w:r>
    </w:p>
    <w:p w14:paraId="3FF26D8A" w14:textId="77777777" w:rsidR="009819F9" w:rsidRPr="0092626A" w:rsidRDefault="009819F9" w:rsidP="0092626A">
      <w:pPr>
        <w:contextualSpacing/>
        <w:jc w:val="both"/>
      </w:pPr>
    </w:p>
    <w:p w14:paraId="31DEEF3B" w14:textId="77777777" w:rsidR="009819F9" w:rsidRPr="0092626A" w:rsidRDefault="009819F9" w:rsidP="0092626A">
      <w:pPr>
        <w:ind w:firstLine="627"/>
        <w:contextualSpacing/>
        <w:jc w:val="both"/>
        <w:rPr>
          <w:b/>
          <w:szCs w:val="24"/>
        </w:rPr>
      </w:pPr>
      <w:r w:rsidRPr="0092626A">
        <w:rPr>
          <w:b/>
          <w:szCs w:val="24"/>
        </w:rPr>
        <w:t>Parengto sprendimo projekto tikslai:</w:t>
      </w:r>
    </w:p>
    <w:p w14:paraId="7517ECA8" w14:textId="5ABAE91D" w:rsidR="009819F9" w:rsidRPr="0092626A" w:rsidRDefault="009819F9" w:rsidP="0092626A">
      <w:pPr>
        <w:ind w:firstLine="627"/>
        <w:contextualSpacing/>
        <w:jc w:val="both"/>
        <w:rPr>
          <w:szCs w:val="24"/>
          <w:lang w:eastAsia="lt-LT"/>
        </w:rPr>
      </w:pPr>
      <w:r w:rsidRPr="0092626A">
        <w:rPr>
          <w:szCs w:val="24"/>
        </w:rPr>
        <w:t xml:space="preserve">Pakeisti Kėdainių rajono savivaldybės 2025 metų Kelių priežiūros ir plėtros programos objektų sąrašo, patvirtinto </w:t>
      </w:r>
      <w:r w:rsidRPr="0092626A">
        <w:rPr>
          <w:szCs w:val="24"/>
          <w:lang w:eastAsia="lt-LT"/>
        </w:rPr>
        <w:t>Kėdainių rajono savivaldybės tarybos 2025 m. balandžio 25 d. sprendimu Nr. TS-145 „Dėl Kėdainių rajono savivaldybės 2025 metų Kelių priežiūros ir plėtros programos objektų sąrašo patvirtinimo“ 4 punkt</w:t>
      </w:r>
      <w:r w:rsidR="00500F9C" w:rsidRPr="0092626A">
        <w:rPr>
          <w:szCs w:val="24"/>
          <w:lang w:eastAsia="lt-LT"/>
        </w:rPr>
        <w:t>ą</w:t>
      </w:r>
      <w:r w:rsidRPr="0092626A">
        <w:rPr>
          <w:szCs w:val="24"/>
          <w:lang w:eastAsia="lt-LT"/>
        </w:rPr>
        <w:t>.</w:t>
      </w:r>
    </w:p>
    <w:p w14:paraId="5DF225D0" w14:textId="77777777" w:rsidR="009819F9" w:rsidRPr="0092626A" w:rsidRDefault="009819F9" w:rsidP="0092626A">
      <w:pPr>
        <w:ind w:firstLine="680"/>
        <w:contextualSpacing/>
        <w:jc w:val="both"/>
        <w:rPr>
          <w:b/>
          <w:szCs w:val="24"/>
        </w:rPr>
      </w:pPr>
      <w:r w:rsidRPr="0092626A">
        <w:rPr>
          <w:b/>
          <w:szCs w:val="24"/>
        </w:rPr>
        <w:t>Sprendimo projekto esmė, rengimo priežastys ir motyvai:</w:t>
      </w:r>
    </w:p>
    <w:p w14:paraId="5C4F014F" w14:textId="33898FC6" w:rsidR="009819F9" w:rsidRPr="0092626A" w:rsidRDefault="00906F1E" w:rsidP="0092626A">
      <w:pPr>
        <w:ind w:firstLine="627"/>
        <w:contextualSpacing/>
        <w:jc w:val="both"/>
        <w:rPr>
          <w:color w:val="000000" w:themeColor="text1"/>
          <w:szCs w:val="24"/>
          <w:lang w:eastAsia="lt-LT"/>
        </w:rPr>
      </w:pPr>
      <w:r w:rsidRPr="0092626A">
        <w:rPr>
          <w:szCs w:val="24"/>
        </w:rPr>
        <w:t>Po</w:t>
      </w:r>
      <w:r w:rsidR="00214201" w:rsidRPr="0092626A">
        <w:rPr>
          <w:szCs w:val="24"/>
        </w:rPr>
        <w:t xml:space="preserve"> viešųjų pirkimų sutaup</w:t>
      </w:r>
      <w:r w:rsidRPr="0092626A">
        <w:rPr>
          <w:szCs w:val="24"/>
        </w:rPr>
        <w:t>ius</w:t>
      </w:r>
      <w:r w:rsidR="00214201" w:rsidRPr="0092626A">
        <w:rPr>
          <w:szCs w:val="24"/>
        </w:rPr>
        <w:t xml:space="preserve"> lėšas, perskirstyti Kėdainių miesto seniūnijos </w:t>
      </w:r>
      <w:r w:rsidRPr="0092626A">
        <w:rPr>
          <w:szCs w:val="24"/>
        </w:rPr>
        <w:t xml:space="preserve">objektams skirtas lėšas ir </w:t>
      </w:r>
      <w:r w:rsidR="00214201" w:rsidRPr="0092626A">
        <w:rPr>
          <w:szCs w:val="24"/>
        </w:rPr>
        <w:t xml:space="preserve">įtraukti į </w:t>
      </w:r>
      <w:r w:rsidR="00214201" w:rsidRPr="0092626A">
        <w:rPr>
          <w:szCs w:val="24"/>
          <w:lang w:eastAsia="lt-LT"/>
        </w:rPr>
        <w:t>Kėdainių rajono savivaldybės 2025 metų Kelių priežiūros ir plėtros programos objektų sąrašą naują objektą</w:t>
      </w:r>
      <w:r w:rsidRPr="0092626A">
        <w:rPr>
          <w:szCs w:val="24"/>
          <w:lang w:eastAsia="lt-LT"/>
        </w:rPr>
        <w:t xml:space="preserve"> – </w:t>
      </w:r>
      <w:r w:rsidRPr="0092626A">
        <w:rPr>
          <w:szCs w:val="24"/>
        </w:rPr>
        <w:t>KDG029, Kėdainiai, Elevatoriaus g. (už geležinkelio pervažos) rekonstravimo darbus</w:t>
      </w:r>
      <w:r w:rsidR="00214201" w:rsidRPr="0092626A">
        <w:rPr>
          <w:szCs w:val="24"/>
          <w:lang w:eastAsia="lt-LT"/>
        </w:rPr>
        <w:t xml:space="preserve"> iš Kėdainių rajono savivaldybės vietinės reikšmės kelių prioritetinės eilės, patvirtintos </w:t>
      </w:r>
      <w:r w:rsidR="00214201" w:rsidRPr="0092626A">
        <w:rPr>
          <w:color w:val="000000" w:themeColor="text1"/>
          <w:szCs w:val="24"/>
          <w:lang w:eastAsia="lt-LT"/>
        </w:rPr>
        <w:t xml:space="preserve">Kėdainių rajono savivaldybės tarybos 2025 m. vasario 21 d. sprendimu Nr. TS-21 „Dėl </w:t>
      </w:r>
      <w:bookmarkStart w:id="1" w:name="_Hlk201039969"/>
      <w:r w:rsidR="00214201" w:rsidRPr="0092626A">
        <w:rPr>
          <w:szCs w:val="24"/>
          <w:lang w:eastAsia="lt-LT"/>
        </w:rPr>
        <w:t>Kėdainių rajono savivaldybės vietinės reikšmės kelių prioritetinės eilės</w:t>
      </w:r>
      <w:r w:rsidR="00214201" w:rsidRPr="0092626A">
        <w:rPr>
          <w:color w:val="000000" w:themeColor="text1"/>
          <w:szCs w:val="24"/>
          <w:lang w:eastAsia="lt-LT"/>
        </w:rPr>
        <w:t xml:space="preserve"> </w:t>
      </w:r>
      <w:bookmarkEnd w:id="1"/>
      <w:r w:rsidR="00214201" w:rsidRPr="0092626A">
        <w:rPr>
          <w:color w:val="000000" w:themeColor="text1"/>
          <w:szCs w:val="24"/>
          <w:lang w:eastAsia="lt-LT"/>
        </w:rPr>
        <w:t>patvirtinimo“</w:t>
      </w:r>
      <w:r w:rsidRPr="0092626A">
        <w:rPr>
          <w:color w:val="000000" w:themeColor="text1"/>
          <w:szCs w:val="24"/>
          <w:lang w:eastAsia="lt-LT"/>
        </w:rPr>
        <w:t>.</w:t>
      </w:r>
    </w:p>
    <w:p w14:paraId="77D4FEDC" w14:textId="77777777" w:rsidR="00906F1E" w:rsidRPr="0092626A" w:rsidRDefault="00906F1E" w:rsidP="0092626A">
      <w:pPr>
        <w:ind w:firstLine="680"/>
        <w:contextualSpacing/>
        <w:jc w:val="both"/>
        <w:rPr>
          <w:b/>
          <w:szCs w:val="24"/>
          <w:lang w:eastAsia="ar-SA"/>
        </w:rPr>
      </w:pPr>
      <w:r w:rsidRPr="0092626A">
        <w:rPr>
          <w:b/>
          <w:szCs w:val="24"/>
          <w:lang w:eastAsia="ar-SA"/>
        </w:rPr>
        <w:t xml:space="preserve">Laukiami rezultatai: </w:t>
      </w:r>
    </w:p>
    <w:p w14:paraId="41423C8D" w14:textId="77777777" w:rsidR="00906F1E" w:rsidRPr="0092626A" w:rsidRDefault="00906F1E" w:rsidP="0092626A">
      <w:pPr>
        <w:ind w:firstLine="680"/>
        <w:contextualSpacing/>
        <w:jc w:val="both"/>
        <w:rPr>
          <w:b/>
          <w:bCs/>
          <w:szCs w:val="24"/>
        </w:rPr>
      </w:pPr>
      <w:r w:rsidRPr="0092626A">
        <w:rPr>
          <w:color w:val="000000"/>
          <w:szCs w:val="24"/>
          <w:lang w:eastAsia="lt-LT"/>
        </w:rPr>
        <w:t>Siekiant užtikrinti kuo geresnę kelių kokybę,</w:t>
      </w:r>
      <w:r w:rsidRPr="0092626A">
        <w:rPr>
          <w:szCs w:val="24"/>
          <w:lang w:eastAsia="lt-LT"/>
        </w:rPr>
        <w:t xml:space="preserve"> ekonomiškas ir efektyvus KPPP finansavimo lėšų, skirtų savivaldybės vietinės reikšmės keliams tiesti, rekonstruoti, taisyti (remontuoti), prižiūrėti, saugaus eismo, darnaus judumo sąlygoms užtikrinti,</w:t>
      </w:r>
      <w:r w:rsidRPr="0092626A">
        <w:rPr>
          <w:color w:val="000000"/>
          <w:szCs w:val="24"/>
          <w:lang w:eastAsia="lt-LT"/>
        </w:rPr>
        <w:t xml:space="preserve"> panaudojimas.</w:t>
      </w:r>
    </w:p>
    <w:p w14:paraId="79A67719" w14:textId="77777777" w:rsidR="00906F1E" w:rsidRPr="0092626A" w:rsidRDefault="00906F1E" w:rsidP="0092626A">
      <w:pPr>
        <w:ind w:firstLine="680"/>
        <w:contextualSpacing/>
        <w:rPr>
          <w:b/>
          <w:bCs/>
          <w:szCs w:val="24"/>
        </w:rPr>
      </w:pPr>
      <w:r w:rsidRPr="0092626A">
        <w:rPr>
          <w:b/>
          <w:bCs/>
          <w:szCs w:val="24"/>
        </w:rPr>
        <w:t>Numatomo teisinio reguliavimo poveikio vertinimas*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714"/>
      </w:tblGrid>
      <w:tr w:rsidR="00906F1E" w:rsidRPr="0092626A" w14:paraId="045B96F6" w14:textId="77777777" w:rsidTr="00835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F4F8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92626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497D60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92626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906F1E" w:rsidRPr="0092626A" w14:paraId="23F1ACA9" w14:textId="77777777" w:rsidTr="00835460">
        <w:trPr>
          <w:trHeight w:val="23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FFA2" w14:textId="77777777" w:rsidR="00906F1E" w:rsidRPr="0092626A" w:rsidRDefault="00906F1E" w:rsidP="0092626A">
            <w:pPr>
              <w:contextualSpacing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DC065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92626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B4A9" w14:textId="77777777" w:rsidR="00906F1E" w:rsidRPr="0092626A" w:rsidRDefault="00906F1E" w:rsidP="0092626A">
            <w:pPr>
              <w:contextualSpacing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  <w:r w:rsidRPr="0092626A">
              <w:rPr>
                <w:b/>
                <w:sz w:val="18"/>
                <w:szCs w:val="18"/>
              </w:rPr>
              <w:t>Neigiamas poveikis</w:t>
            </w:r>
          </w:p>
        </w:tc>
      </w:tr>
      <w:tr w:rsidR="00906F1E" w:rsidRPr="0092626A" w14:paraId="096EEDBD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8D24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44F8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9BFB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757A955D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32161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8F82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3F13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0F8D15BC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0C57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53AC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E73F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1933C6FE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8977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6E9A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D1A6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6BEAF278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5B126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E575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8DA6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64B78A79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C547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0CFC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F15F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2CA5728A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8304D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ECD7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B91D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1792AE0E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7EC47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8F5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EEB1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4FC1476B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19F0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F7A3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EDF9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06F1E" w:rsidRPr="0092626A" w14:paraId="1B3E190B" w14:textId="77777777" w:rsidTr="00835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A52B" w14:textId="77777777" w:rsidR="00906F1E" w:rsidRPr="0092626A" w:rsidRDefault="00906F1E" w:rsidP="0092626A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2626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3F89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273D" w14:textId="77777777" w:rsidR="00906F1E" w:rsidRPr="0092626A" w:rsidRDefault="00906F1E" w:rsidP="0092626A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38537238" w14:textId="77777777" w:rsidR="00906F1E" w:rsidRPr="0092626A" w:rsidRDefault="00906F1E" w:rsidP="0092626A">
      <w:pPr>
        <w:contextualSpacing/>
      </w:pPr>
    </w:p>
    <w:p w14:paraId="7451A329" w14:textId="77777777" w:rsidR="00906F1E" w:rsidRPr="0092626A" w:rsidRDefault="00906F1E" w:rsidP="0092626A">
      <w:pPr>
        <w:contextualSpacing/>
        <w:jc w:val="both"/>
        <w:rPr>
          <w:spacing w:val="6"/>
        </w:rPr>
      </w:pPr>
      <w:r w:rsidRPr="0092626A">
        <w:rPr>
          <w:b/>
          <w:sz w:val="18"/>
          <w:szCs w:val="18"/>
          <w:lang w:bidi="lo-LA"/>
        </w:rPr>
        <w:t>*</w:t>
      </w:r>
      <w:r w:rsidRPr="0092626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92626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92626A">
        <w:rPr>
          <w:sz w:val="18"/>
          <w:szCs w:val="18"/>
          <w:lang w:bidi="lo-LA"/>
        </w:rPr>
        <w:t xml:space="preserve"> </w:t>
      </w:r>
      <w:r w:rsidRPr="0092626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7AED4D68" w14:textId="77777777" w:rsidR="00906F1E" w:rsidRPr="0092626A" w:rsidRDefault="00906F1E" w:rsidP="0092626A">
      <w:pPr>
        <w:contextualSpacing/>
        <w:rPr>
          <w:spacing w:val="6"/>
        </w:rPr>
      </w:pPr>
    </w:p>
    <w:p w14:paraId="7CBF962C" w14:textId="17F410C5" w:rsidR="00906F1E" w:rsidRPr="0092626A" w:rsidRDefault="00906F1E" w:rsidP="0092626A">
      <w:pPr>
        <w:contextualSpacing/>
        <w:rPr>
          <w:color w:val="000000"/>
        </w:rPr>
      </w:pPr>
      <w:r w:rsidRPr="0092626A">
        <w:rPr>
          <w:spacing w:val="6"/>
        </w:rPr>
        <w:t>Statybos skyriaus vedėjas</w:t>
      </w:r>
      <w:r w:rsidRPr="0092626A">
        <w:rPr>
          <w:spacing w:val="6"/>
        </w:rPr>
        <w:tab/>
        <w:t xml:space="preserve">                                                   </w:t>
      </w:r>
      <w:r w:rsidR="00835460" w:rsidRPr="0092626A">
        <w:rPr>
          <w:spacing w:val="6"/>
        </w:rPr>
        <w:tab/>
      </w:r>
      <w:r w:rsidR="00835460" w:rsidRPr="0092626A">
        <w:rPr>
          <w:spacing w:val="6"/>
        </w:rPr>
        <w:tab/>
      </w:r>
      <w:r w:rsidRPr="0092626A">
        <w:rPr>
          <w:spacing w:val="6"/>
        </w:rPr>
        <w:t xml:space="preserve">  Algimantas Žvikas</w:t>
      </w:r>
      <w:r w:rsidRPr="0092626A">
        <w:rPr>
          <w:color w:val="000000"/>
        </w:rPr>
        <w:t xml:space="preserve"> </w:t>
      </w:r>
    </w:p>
    <w:p w14:paraId="14B612B4" w14:textId="77777777" w:rsidR="0008392A" w:rsidRPr="0092626A" w:rsidRDefault="0008392A" w:rsidP="0092626A">
      <w:pPr>
        <w:contextualSpacing/>
        <w:rPr>
          <w:color w:val="000000"/>
        </w:rPr>
      </w:pPr>
    </w:p>
    <w:p w14:paraId="7AB0B98C" w14:textId="77777777" w:rsidR="0008392A" w:rsidRPr="0092626A" w:rsidRDefault="0008392A" w:rsidP="0092626A">
      <w:pPr>
        <w:contextualSpacing/>
        <w:rPr>
          <w:color w:val="000000"/>
        </w:rPr>
      </w:pPr>
    </w:p>
    <w:p w14:paraId="1935B408" w14:textId="77777777" w:rsidR="00500F9C" w:rsidRPr="0092626A" w:rsidRDefault="00500F9C" w:rsidP="0092626A">
      <w:pPr>
        <w:contextualSpacing/>
        <w:rPr>
          <w:color w:val="000000"/>
        </w:rPr>
      </w:pPr>
    </w:p>
    <w:p w14:paraId="40487602" w14:textId="77777777" w:rsidR="00500F9C" w:rsidRPr="0092626A" w:rsidRDefault="00500F9C" w:rsidP="0092626A">
      <w:pPr>
        <w:contextualSpacing/>
        <w:rPr>
          <w:color w:val="000000"/>
        </w:rPr>
      </w:pPr>
    </w:p>
    <w:p w14:paraId="66CEE67B" w14:textId="77777777" w:rsidR="00500F9C" w:rsidRPr="0092626A" w:rsidRDefault="00500F9C" w:rsidP="0092626A">
      <w:pPr>
        <w:contextualSpacing/>
        <w:rPr>
          <w:color w:val="000000"/>
        </w:rPr>
      </w:pPr>
    </w:p>
    <w:p w14:paraId="158083B3" w14:textId="77777777" w:rsidR="0092626A" w:rsidRPr="0092626A" w:rsidRDefault="0008392A" w:rsidP="0092626A">
      <w:pPr>
        <w:tabs>
          <w:tab w:val="left" w:pos="0"/>
        </w:tabs>
        <w:ind w:firstLine="5103"/>
        <w:contextualSpacing/>
        <w:rPr>
          <w:b/>
          <w:bCs/>
          <w:szCs w:val="24"/>
          <w:lang w:eastAsia="lt-LT"/>
        </w:rPr>
      </w:pPr>
      <w:r w:rsidRPr="0092626A">
        <w:rPr>
          <w:b/>
          <w:bCs/>
          <w:szCs w:val="24"/>
          <w:lang w:eastAsia="lt-LT"/>
        </w:rPr>
        <w:tab/>
      </w:r>
      <w:r w:rsidRPr="0092626A">
        <w:rPr>
          <w:b/>
          <w:bCs/>
          <w:szCs w:val="24"/>
          <w:lang w:eastAsia="lt-LT"/>
        </w:rPr>
        <w:tab/>
      </w:r>
      <w:r w:rsidRPr="0092626A">
        <w:rPr>
          <w:b/>
          <w:bCs/>
          <w:szCs w:val="24"/>
          <w:lang w:eastAsia="lt-LT"/>
        </w:rPr>
        <w:tab/>
      </w:r>
      <w:r w:rsidR="0092626A" w:rsidRPr="0092626A">
        <w:rPr>
          <w:b/>
          <w:bCs/>
          <w:szCs w:val="24"/>
          <w:lang w:eastAsia="lt-LT"/>
        </w:rPr>
        <w:br w:type="page"/>
      </w:r>
    </w:p>
    <w:p w14:paraId="4155AA95" w14:textId="3F1EFD47" w:rsidR="0008392A" w:rsidRPr="0092626A" w:rsidRDefault="0008392A" w:rsidP="0092626A">
      <w:pPr>
        <w:tabs>
          <w:tab w:val="left" w:pos="0"/>
        </w:tabs>
        <w:ind w:firstLine="5103"/>
        <w:contextualSpacing/>
        <w:jc w:val="right"/>
        <w:rPr>
          <w:b/>
          <w:bCs/>
          <w:szCs w:val="24"/>
          <w:lang w:eastAsia="lt-LT"/>
        </w:rPr>
      </w:pPr>
      <w:r w:rsidRPr="0092626A">
        <w:rPr>
          <w:b/>
          <w:bCs/>
          <w:szCs w:val="24"/>
          <w:lang w:eastAsia="lt-LT"/>
        </w:rPr>
        <w:lastRenderedPageBreak/>
        <w:t>Projekto lyginamasis variantas</w:t>
      </w:r>
    </w:p>
    <w:p w14:paraId="01A9457D" w14:textId="77777777" w:rsidR="0008392A" w:rsidRPr="0092626A" w:rsidRDefault="0008392A" w:rsidP="0092626A">
      <w:pPr>
        <w:contextualSpacing/>
        <w:rPr>
          <w:color w:val="000000"/>
        </w:rPr>
      </w:pPr>
    </w:p>
    <w:p w14:paraId="34D507DD" w14:textId="77777777" w:rsidR="006B1AE2" w:rsidRPr="0092626A" w:rsidRDefault="006B1AE2" w:rsidP="0092626A">
      <w:pPr>
        <w:contextualSpacing/>
        <w:jc w:val="center"/>
        <w:rPr>
          <w:b/>
          <w:bCs/>
          <w:caps/>
          <w:szCs w:val="24"/>
          <w:lang w:eastAsia="ar-SA"/>
        </w:rPr>
      </w:pPr>
      <w:r w:rsidRPr="0092626A">
        <w:rPr>
          <w:b/>
          <w:bCs/>
          <w:caps/>
          <w:szCs w:val="24"/>
          <w:lang w:eastAsia="ar-SA"/>
        </w:rPr>
        <w:t>kėdainių rajono savivaldybėS TARYBA</w:t>
      </w:r>
    </w:p>
    <w:p w14:paraId="6B9B7FAD" w14:textId="77777777" w:rsidR="006B1AE2" w:rsidRPr="0092626A" w:rsidRDefault="006B1AE2" w:rsidP="0092626A">
      <w:pPr>
        <w:contextualSpacing/>
        <w:jc w:val="center"/>
        <w:rPr>
          <w:b/>
          <w:lang w:eastAsia="lt-LT"/>
        </w:rPr>
      </w:pPr>
    </w:p>
    <w:p w14:paraId="1ECEC950" w14:textId="77777777" w:rsidR="00500F9C" w:rsidRPr="0092626A" w:rsidRDefault="00500F9C" w:rsidP="0092626A">
      <w:pPr>
        <w:contextualSpacing/>
        <w:jc w:val="center"/>
        <w:rPr>
          <w:b/>
          <w:bCs/>
          <w:lang w:eastAsia="lt-LT"/>
        </w:rPr>
      </w:pPr>
      <w:r w:rsidRPr="0092626A">
        <w:rPr>
          <w:b/>
          <w:bCs/>
          <w:lang w:eastAsia="lt-LT"/>
        </w:rPr>
        <w:t>SPRENDIMAS</w:t>
      </w:r>
    </w:p>
    <w:p w14:paraId="7E0DD155" w14:textId="77777777" w:rsidR="00500F9C" w:rsidRPr="0092626A" w:rsidRDefault="00500F9C" w:rsidP="0092626A">
      <w:pPr>
        <w:contextualSpacing/>
        <w:jc w:val="center"/>
        <w:rPr>
          <w:b/>
          <w:bCs/>
          <w:lang w:eastAsia="lt-LT"/>
        </w:rPr>
      </w:pPr>
      <w:r w:rsidRPr="0092626A">
        <w:rPr>
          <w:b/>
          <w:bCs/>
          <w:lang w:eastAsia="lt-LT"/>
        </w:rPr>
        <w:t xml:space="preserve">DĖL KĖDAINIŲ RAJONO SAVIVALDYBĖS TARYBOS 2025 M. BALANDŽIO 25 D. SPRENDIMO NR. TS-145 „DĖL KĖDAINIŲ RAJONO SAVIVALDYBĖS 2025 METŲ KELIŲ PRIEŽIŪROS IR PLĖTROS PROGRAMOS OBJEKTŲ SĄRAŠO PATVIRTINIMO“ PAKEITIMO </w:t>
      </w:r>
    </w:p>
    <w:p w14:paraId="7324B0D2" w14:textId="77777777" w:rsidR="00500F9C" w:rsidRPr="0092626A" w:rsidRDefault="00500F9C" w:rsidP="0092626A">
      <w:pPr>
        <w:contextualSpacing/>
        <w:jc w:val="center"/>
        <w:rPr>
          <w:b/>
        </w:rPr>
      </w:pPr>
    </w:p>
    <w:p w14:paraId="61A06DBC" w14:textId="4121BC81" w:rsidR="00500F9C" w:rsidRPr="0092626A" w:rsidRDefault="00500F9C" w:rsidP="0092626A">
      <w:pPr>
        <w:contextualSpacing/>
        <w:jc w:val="center"/>
        <w:rPr>
          <w:bCs/>
        </w:rPr>
      </w:pPr>
      <w:r w:rsidRPr="0092626A">
        <w:rPr>
          <w:bCs/>
        </w:rPr>
        <w:t>2025 m.                                 d. Nr. S</w:t>
      </w:r>
      <w:r w:rsidR="00CE4FAA" w:rsidRPr="0092626A">
        <w:rPr>
          <w:bCs/>
        </w:rPr>
        <w:t>P</w:t>
      </w:r>
      <w:r w:rsidRPr="0092626A">
        <w:rPr>
          <w:bCs/>
        </w:rPr>
        <w:t xml:space="preserve">- </w:t>
      </w:r>
    </w:p>
    <w:p w14:paraId="629EB277" w14:textId="77777777" w:rsidR="00500F9C" w:rsidRPr="0092626A" w:rsidRDefault="00500F9C" w:rsidP="0092626A">
      <w:pPr>
        <w:contextualSpacing/>
        <w:jc w:val="center"/>
        <w:rPr>
          <w:b/>
        </w:rPr>
      </w:pPr>
    </w:p>
    <w:p w14:paraId="7D317204" w14:textId="77777777" w:rsidR="00500F9C" w:rsidRPr="0092626A" w:rsidRDefault="00500F9C" w:rsidP="0092626A">
      <w:pPr>
        <w:contextualSpacing/>
        <w:rPr>
          <w:color w:val="FF0000"/>
        </w:rPr>
      </w:pPr>
    </w:p>
    <w:p w14:paraId="6CF00E25" w14:textId="77777777" w:rsidR="00500F9C" w:rsidRPr="0092626A" w:rsidRDefault="00500F9C" w:rsidP="0092626A">
      <w:pPr>
        <w:ind w:firstLine="709"/>
        <w:contextualSpacing/>
        <w:jc w:val="both"/>
        <w:rPr>
          <w:lang w:eastAsia="lt-LT"/>
        </w:rPr>
      </w:pPr>
      <w:r w:rsidRPr="0092626A">
        <w:rPr>
          <w:lang w:eastAsia="lt-LT"/>
        </w:rPr>
        <w:t>Kėdainių rajono savivaldybės taryba  n u s p r e n d ž i a:</w:t>
      </w:r>
    </w:p>
    <w:p w14:paraId="505B83AC" w14:textId="77777777" w:rsidR="00500F9C" w:rsidRPr="0092626A" w:rsidRDefault="00500F9C" w:rsidP="0092626A">
      <w:pPr>
        <w:contextualSpacing/>
        <w:jc w:val="both"/>
        <w:rPr>
          <w:szCs w:val="24"/>
          <w:lang w:eastAsia="lt-LT"/>
        </w:rPr>
      </w:pPr>
      <w:r w:rsidRPr="0092626A">
        <w:tab/>
        <w:t xml:space="preserve">Pakeisti Kėdainių rajono savivaldybės 2025 metų Kelių priežiūros ir plėtros programos objektų sąrašą, patvirtintą </w:t>
      </w:r>
      <w:r w:rsidRPr="0092626A">
        <w:rPr>
          <w:szCs w:val="24"/>
          <w:lang w:eastAsia="lt-LT"/>
        </w:rPr>
        <w:t>Kėdainių rajono savivaldybės tarybos 2025 m. balandžio 25 d. sprendimu Nr. TS-145 „Dėl Kėdainių rajono savivaldybės 2025 metų Kelių priežiūros ir plėtros programos objektų sąrašo patvirtinimo“ ir 4 punktą išdėstyti taip:</w:t>
      </w:r>
    </w:p>
    <w:p w14:paraId="5F181D47" w14:textId="77777777" w:rsidR="00873A75" w:rsidRPr="0092626A" w:rsidRDefault="00873A75" w:rsidP="0092626A">
      <w:pPr>
        <w:contextualSpacing/>
        <w:jc w:val="both"/>
        <w:rPr>
          <w:szCs w:val="24"/>
          <w:lang w:eastAsia="lt-L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78"/>
        <w:gridCol w:w="1984"/>
        <w:gridCol w:w="1134"/>
        <w:gridCol w:w="1418"/>
      </w:tblGrid>
      <w:tr w:rsidR="00873A75" w:rsidRPr="0092626A" w14:paraId="6CAEE7C8" w14:textId="77777777" w:rsidTr="008161ED">
        <w:trPr>
          <w:jc w:val="center"/>
        </w:trPr>
        <w:tc>
          <w:tcPr>
            <w:tcW w:w="9918" w:type="dxa"/>
            <w:gridSpan w:val="5"/>
          </w:tcPr>
          <w:p w14:paraId="315A34F8" w14:textId="77777777" w:rsidR="00873A75" w:rsidRPr="0092626A" w:rsidRDefault="00873A75" w:rsidP="0092626A">
            <w:pPr>
              <w:contextualSpacing/>
              <w:jc w:val="center"/>
              <w:rPr>
                <w:b/>
                <w:szCs w:val="24"/>
              </w:rPr>
            </w:pPr>
            <w:r w:rsidRPr="0092626A">
              <w:rPr>
                <w:b/>
                <w:szCs w:val="24"/>
              </w:rPr>
              <w:t>„</w:t>
            </w:r>
            <w:r w:rsidRPr="0092626A">
              <w:rPr>
                <w:bCs/>
                <w:szCs w:val="24"/>
              </w:rPr>
              <w:t>4. Kėdainių miesto seniūnija</w:t>
            </w:r>
          </w:p>
        </w:tc>
      </w:tr>
      <w:tr w:rsidR="00873A75" w:rsidRPr="0092626A" w14:paraId="625E3E25" w14:textId="77777777" w:rsidTr="00357336">
        <w:trPr>
          <w:jc w:val="center"/>
        </w:trPr>
        <w:tc>
          <w:tcPr>
            <w:tcW w:w="704" w:type="dxa"/>
          </w:tcPr>
          <w:p w14:paraId="0CFECDC2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4.1.</w:t>
            </w:r>
          </w:p>
        </w:tc>
        <w:tc>
          <w:tcPr>
            <w:tcW w:w="4678" w:type="dxa"/>
          </w:tcPr>
          <w:p w14:paraId="262846BF" w14:textId="77777777" w:rsidR="00873A75" w:rsidRPr="0092626A" w:rsidRDefault="00873A75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Seniūnijos keliai ir gatvės su asfaltbetonio danga  (išdaužų užtaisymas)</w:t>
            </w:r>
          </w:p>
        </w:tc>
        <w:tc>
          <w:tcPr>
            <w:tcW w:w="1984" w:type="dxa"/>
          </w:tcPr>
          <w:p w14:paraId="722EDADC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 xml:space="preserve">Priežiūra </w:t>
            </w:r>
          </w:p>
        </w:tc>
        <w:tc>
          <w:tcPr>
            <w:tcW w:w="1134" w:type="dxa"/>
          </w:tcPr>
          <w:p w14:paraId="0A8F2316" w14:textId="77777777" w:rsidR="00873A75" w:rsidRPr="0092626A" w:rsidRDefault="00873A75" w:rsidP="0092626A">
            <w:pPr>
              <w:contextualSpacing/>
              <w:jc w:val="center"/>
              <w:rPr>
                <w:szCs w:val="24"/>
                <w:vertAlign w:val="superscript"/>
              </w:rPr>
            </w:pPr>
            <w:r w:rsidRPr="0092626A">
              <w:rPr>
                <w:szCs w:val="24"/>
              </w:rPr>
              <w:t>3000 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041AB88" w14:textId="34413B4D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90,750</w:t>
            </w:r>
          </w:p>
        </w:tc>
      </w:tr>
      <w:tr w:rsidR="00873A75" w:rsidRPr="0092626A" w14:paraId="3BB28E8D" w14:textId="77777777" w:rsidTr="00357336">
        <w:trPr>
          <w:trHeight w:val="423"/>
          <w:jc w:val="center"/>
        </w:trPr>
        <w:tc>
          <w:tcPr>
            <w:tcW w:w="704" w:type="dxa"/>
          </w:tcPr>
          <w:p w14:paraId="5483050E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4.2.</w:t>
            </w:r>
          </w:p>
        </w:tc>
        <w:tc>
          <w:tcPr>
            <w:tcW w:w="4678" w:type="dxa"/>
          </w:tcPr>
          <w:p w14:paraId="4165CE57" w14:textId="77777777" w:rsidR="00873A75" w:rsidRPr="0092626A" w:rsidRDefault="00873A75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KD-9, Kėdainių m. sen., pravažiavimo kelio tarp VRK Nr. 144 ir VRK Nr. 2006 asfaltbetonio dangos atnaujinimas (iki Jovarų g.)</w:t>
            </w:r>
          </w:p>
        </w:tc>
        <w:tc>
          <w:tcPr>
            <w:tcW w:w="1984" w:type="dxa"/>
          </w:tcPr>
          <w:p w14:paraId="79A9BACA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Paprastasis remontas</w:t>
            </w:r>
          </w:p>
        </w:tc>
        <w:tc>
          <w:tcPr>
            <w:tcW w:w="1134" w:type="dxa"/>
          </w:tcPr>
          <w:p w14:paraId="7F6FD9C1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3100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51EB724" w14:textId="77777777" w:rsidR="00873A75" w:rsidRPr="0092626A" w:rsidRDefault="00873A75" w:rsidP="0092626A">
            <w:pPr>
              <w:contextualSpacing/>
              <w:jc w:val="center"/>
              <w:rPr>
                <w:strike/>
                <w:szCs w:val="24"/>
              </w:rPr>
            </w:pPr>
            <w:r w:rsidRPr="0092626A">
              <w:rPr>
                <w:strike/>
                <w:szCs w:val="24"/>
              </w:rPr>
              <w:t>125,000</w:t>
            </w:r>
          </w:p>
          <w:p w14:paraId="0101C36B" w14:textId="4664C1A2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b/>
                <w:bCs/>
                <w:szCs w:val="24"/>
              </w:rPr>
              <w:t>78,289</w:t>
            </w:r>
          </w:p>
        </w:tc>
      </w:tr>
      <w:tr w:rsidR="00873A75" w:rsidRPr="0092626A" w14:paraId="42296982" w14:textId="77777777" w:rsidTr="00357336">
        <w:trPr>
          <w:jc w:val="center"/>
        </w:trPr>
        <w:tc>
          <w:tcPr>
            <w:tcW w:w="704" w:type="dxa"/>
          </w:tcPr>
          <w:p w14:paraId="4C139748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4.3.</w:t>
            </w:r>
          </w:p>
        </w:tc>
        <w:tc>
          <w:tcPr>
            <w:tcW w:w="4678" w:type="dxa"/>
          </w:tcPr>
          <w:p w14:paraId="269F8537" w14:textId="77777777" w:rsidR="00873A75" w:rsidRPr="0092626A" w:rsidRDefault="00873A75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KDG005, Kėdainių m., Aruodų g. (4400-2044-0720) asfaltbetonio dangos atnaujinimas</w:t>
            </w:r>
          </w:p>
        </w:tc>
        <w:tc>
          <w:tcPr>
            <w:tcW w:w="1984" w:type="dxa"/>
          </w:tcPr>
          <w:p w14:paraId="50C66393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Paprastasis remontas</w:t>
            </w:r>
          </w:p>
        </w:tc>
        <w:tc>
          <w:tcPr>
            <w:tcW w:w="1134" w:type="dxa"/>
          </w:tcPr>
          <w:p w14:paraId="65E6DB03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1000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3D6A020" w14:textId="77777777" w:rsidR="00873A75" w:rsidRPr="0092626A" w:rsidRDefault="00873A75" w:rsidP="0092626A">
            <w:pPr>
              <w:contextualSpacing/>
              <w:jc w:val="center"/>
              <w:rPr>
                <w:strike/>
                <w:szCs w:val="24"/>
              </w:rPr>
            </w:pPr>
            <w:r w:rsidRPr="0092626A">
              <w:rPr>
                <w:strike/>
                <w:szCs w:val="24"/>
              </w:rPr>
              <w:t>50,000</w:t>
            </w:r>
          </w:p>
          <w:p w14:paraId="646CEF69" w14:textId="7BC9BA12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b/>
                <w:bCs/>
                <w:szCs w:val="24"/>
              </w:rPr>
              <w:t>29,718</w:t>
            </w:r>
          </w:p>
        </w:tc>
      </w:tr>
      <w:tr w:rsidR="00873A75" w:rsidRPr="0092626A" w14:paraId="7FA849EF" w14:textId="77777777" w:rsidTr="00357336">
        <w:trPr>
          <w:jc w:val="center"/>
        </w:trPr>
        <w:tc>
          <w:tcPr>
            <w:tcW w:w="704" w:type="dxa"/>
          </w:tcPr>
          <w:p w14:paraId="49C17C50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4.4.</w:t>
            </w:r>
          </w:p>
        </w:tc>
        <w:tc>
          <w:tcPr>
            <w:tcW w:w="4678" w:type="dxa"/>
          </w:tcPr>
          <w:p w14:paraId="1ECAEBF8" w14:textId="77777777" w:rsidR="00873A75" w:rsidRPr="0092626A" w:rsidRDefault="00873A75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KDG113, Kėdainiai, V. Svirskio g. </w:t>
            </w:r>
          </w:p>
        </w:tc>
        <w:tc>
          <w:tcPr>
            <w:tcW w:w="1984" w:type="dxa"/>
          </w:tcPr>
          <w:p w14:paraId="69CB59F0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39464C04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1960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8DF0AA5" w14:textId="2B039314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41,110</w:t>
            </w:r>
          </w:p>
        </w:tc>
      </w:tr>
      <w:tr w:rsidR="00873A75" w:rsidRPr="0092626A" w14:paraId="6BD5D1F4" w14:textId="77777777" w:rsidTr="00357336">
        <w:trPr>
          <w:jc w:val="center"/>
        </w:trPr>
        <w:tc>
          <w:tcPr>
            <w:tcW w:w="704" w:type="dxa"/>
          </w:tcPr>
          <w:p w14:paraId="76294889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4.5.</w:t>
            </w:r>
          </w:p>
        </w:tc>
        <w:tc>
          <w:tcPr>
            <w:tcW w:w="4678" w:type="dxa"/>
          </w:tcPr>
          <w:p w14:paraId="28D0B392" w14:textId="77777777" w:rsidR="00873A75" w:rsidRPr="0092626A" w:rsidRDefault="00873A75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KDG037, KDG165, Kėdainiai, Janušavos g. (nuo Skroblų g. iki Gedimino g.) </w:t>
            </w:r>
          </w:p>
        </w:tc>
        <w:tc>
          <w:tcPr>
            <w:tcW w:w="1984" w:type="dxa"/>
          </w:tcPr>
          <w:p w14:paraId="6985AEFE" w14:textId="77777777" w:rsidR="00873A75" w:rsidRPr="0092626A" w:rsidRDefault="00873A75" w:rsidP="0092626A">
            <w:pPr>
              <w:contextualSpacing/>
              <w:jc w:val="center"/>
              <w:rPr>
                <w:color w:val="000000" w:themeColor="text1"/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Rekonstravimas</w:t>
            </w:r>
          </w:p>
          <w:p w14:paraId="48974700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E8BA716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7483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32E2FD8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187,730</w:t>
            </w:r>
          </w:p>
          <w:p w14:paraId="55D51D67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</w:p>
        </w:tc>
      </w:tr>
      <w:tr w:rsidR="00873A75" w:rsidRPr="0092626A" w14:paraId="45EA9CF1" w14:textId="77777777" w:rsidTr="00357336">
        <w:trPr>
          <w:jc w:val="center"/>
        </w:trPr>
        <w:tc>
          <w:tcPr>
            <w:tcW w:w="704" w:type="dxa"/>
          </w:tcPr>
          <w:p w14:paraId="04E4802B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4.6.</w:t>
            </w:r>
          </w:p>
        </w:tc>
        <w:tc>
          <w:tcPr>
            <w:tcW w:w="4678" w:type="dxa"/>
          </w:tcPr>
          <w:p w14:paraId="4D15B548" w14:textId="77777777" w:rsidR="00873A75" w:rsidRPr="0092626A" w:rsidRDefault="00873A75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KDG007, Kėdainiai, Aušros g. (nuo Palangos g. iki Laisvės g.) </w:t>
            </w:r>
          </w:p>
        </w:tc>
        <w:tc>
          <w:tcPr>
            <w:tcW w:w="1984" w:type="dxa"/>
          </w:tcPr>
          <w:p w14:paraId="54D865D2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0CC6FAE4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2355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DEE598B" w14:textId="77777777" w:rsidR="00873A75" w:rsidRPr="0092626A" w:rsidRDefault="00873A75" w:rsidP="0092626A">
            <w:pPr>
              <w:contextualSpacing/>
              <w:jc w:val="center"/>
              <w:rPr>
                <w:strike/>
                <w:szCs w:val="24"/>
              </w:rPr>
            </w:pPr>
            <w:r w:rsidRPr="0092626A">
              <w:rPr>
                <w:strike/>
                <w:szCs w:val="24"/>
              </w:rPr>
              <w:t>325,500</w:t>
            </w:r>
          </w:p>
          <w:p w14:paraId="1BEE0ECD" w14:textId="77777777" w:rsidR="00873A75" w:rsidRPr="0092626A" w:rsidRDefault="00873A75" w:rsidP="0092626A">
            <w:pPr>
              <w:contextualSpacing/>
              <w:jc w:val="center"/>
              <w:rPr>
                <w:b/>
                <w:bCs/>
                <w:szCs w:val="24"/>
              </w:rPr>
            </w:pPr>
            <w:r w:rsidRPr="0092626A">
              <w:rPr>
                <w:b/>
                <w:bCs/>
                <w:szCs w:val="24"/>
              </w:rPr>
              <w:t>239,000</w:t>
            </w:r>
          </w:p>
          <w:p w14:paraId="63C2DECF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</w:p>
        </w:tc>
      </w:tr>
      <w:tr w:rsidR="00873A75" w:rsidRPr="0092626A" w14:paraId="00DF9780" w14:textId="77777777" w:rsidTr="00357336">
        <w:trPr>
          <w:jc w:val="center"/>
        </w:trPr>
        <w:tc>
          <w:tcPr>
            <w:tcW w:w="704" w:type="dxa"/>
          </w:tcPr>
          <w:p w14:paraId="5493990C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4.7.</w:t>
            </w:r>
          </w:p>
        </w:tc>
        <w:tc>
          <w:tcPr>
            <w:tcW w:w="4678" w:type="dxa"/>
          </w:tcPr>
          <w:p w14:paraId="3D6356D9" w14:textId="77777777" w:rsidR="00873A75" w:rsidRPr="0092626A" w:rsidRDefault="00873A75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KDG025, Kėdainiai, Dvaro g. (nuo Gedimino g. iki Lakštingalų g.) </w:t>
            </w:r>
          </w:p>
        </w:tc>
        <w:tc>
          <w:tcPr>
            <w:tcW w:w="1984" w:type="dxa"/>
          </w:tcPr>
          <w:p w14:paraId="2707957B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Kapitalinis remontas, paprastasis remontas </w:t>
            </w:r>
          </w:p>
        </w:tc>
        <w:tc>
          <w:tcPr>
            <w:tcW w:w="1134" w:type="dxa"/>
          </w:tcPr>
          <w:p w14:paraId="68FE5092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2320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F65D66A" w14:textId="0F6AF2AC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114,434</w:t>
            </w:r>
          </w:p>
        </w:tc>
      </w:tr>
      <w:tr w:rsidR="00873A75" w:rsidRPr="0092626A" w14:paraId="1216CE15" w14:textId="77777777" w:rsidTr="00357336">
        <w:trPr>
          <w:jc w:val="center"/>
        </w:trPr>
        <w:tc>
          <w:tcPr>
            <w:tcW w:w="704" w:type="dxa"/>
          </w:tcPr>
          <w:p w14:paraId="1CC3A7B3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4.8.</w:t>
            </w:r>
          </w:p>
        </w:tc>
        <w:tc>
          <w:tcPr>
            <w:tcW w:w="4678" w:type="dxa"/>
          </w:tcPr>
          <w:p w14:paraId="19053939" w14:textId="77777777" w:rsidR="00873A75" w:rsidRPr="0092626A" w:rsidRDefault="00873A75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KDG054, Kėdainiai, Kosmonautų g. akligatviai </w:t>
            </w:r>
          </w:p>
        </w:tc>
        <w:tc>
          <w:tcPr>
            <w:tcW w:w="1984" w:type="dxa"/>
          </w:tcPr>
          <w:p w14:paraId="787111B7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24C17F0C" w14:textId="77777777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2750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CDD595D" w14:textId="77777777" w:rsidR="00873A75" w:rsidRPr="0092626A" w:rsidRDefault="00873A75" w:rsidP="0092626A">
            <w:pPr>
              <w:contextualSpacing/>
              <w:jc w:val="center"/>
              <w:rPr>
                <w:strike/>
                <w:szCs w:val="24"/>
              </w:rPr>
            </w:pPr>
            <w:r w:rsidRPr="0092626A">
              <w:rPr>
                <w:strike/>
                <w:szCs w:val="24"/>
              </w:rPr>
              <w:t>241,000</w:t>
            </w:r>
          </w:p>
          <w:p w14:paraId="2E33BE43" w14:textId="62BA304E" w:rsidR="00873A75" w:rsidRPr="0092626A" w:rsidRDefault="00873A75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b/>
                <w:bCs/>
                <w:szCs w:val="24"/>
              </w:rPr>
              <w:t>282,470</w:t>
            </w:r>
          </w:p>
        </w:tc>
      </w:tr>
      <w:tr w:rsidR="00873A75" w:rsidRPr="0092626A" w14:paraId="14D5CCD2" w14:textId="77777777" w:rsidTr="00357336">
        <w:trPr>
          <w:jc w:val="center"/>
        </w:trPr>
        <w:tc>
          <w:tcPr>
            <w:tcW w:w="704" w:type="dxa"/>
          </w:tcPr>
          <w:p w14:paraId="0FECC8E2" w14:textId="77777777" w:rsidR="00873A75" w:rsidRPr="0092626A" w:rsidRDefault="00873A75" w:rsidP="0092626A">
            <w:pPr>
              <w:contextualSpacing/>
              <w:jc w:val="center"/>
              <w:rPr>
                <w:b/>
                <w:bCs/>
                <w:szCs w:val="24"/>
              </w:rPr>
            </w:pPr>
            <w:r w:rsidRPr="0092626A">
              <w:rPr>
                <w:b/>
                <w:bCs/>
                <w:szCs w:val="24"/>
              </w:rPr>
              <w:t>4.9.</w:t>
            </w:r>
          </w:p>
        </w:tc>
        <w:tc>
          <w:tcPr>
            <w:tcW w:w="4678" w:type="dxa"/>
          </w:tcPr>
          <w:p w14:paraId="09E343FF" w14:textId="77777777" w:rsidR="00873A75" w:rsidRPr="0092626A" w:rsidRDefault="00873A75" w:rsidP="0092626A">
            <w:pPr>
              <w:contextualSpacing/>
              <w:rPr>
                <w:b/>
                <w:bCs/>
                <w:color w:val="000000" w:themeColor="text1"/>
                <w:szCs w:val="24"/>
              </w:rPr>
            </w:pPr>
            <w:r w:rsidRPr="0092626A">
              <w:rPr>
                <w:b/>
                <w:bCs/>
                <w:color w:val="000000" w:themeColor="text1"/>
                <w:szCs w:val="24"/>
              </w:rPr>
              <w:t>KDG029, Kėdainiai, Elevatoriaus g.</w:t>
            </w:r>
          </w:p>
        </w:tc>
        <w:tc>
          <w:tcPr>
            <w:tcW w:w="1984" w:type="dxa"/>
          </w:tcPr>
          <w:p w14:paraId="6EB44275" w14:textId="77777777" w:rsidR="00873A75" w:rsidRPr="0092626A" w:rsidRDefault="00873A75" w:rsidP="0092626A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2626A">
              <w:rPr>
                <w:b/>
                <w:bCs/>
                <w:color w:val="000000" w:themeColor="text1"/>
                <w:szCs w:val="24"/>
              </w:rPr>
              <w:t>Rekonstravimas</w:t>
            </w:r>
          </w:p>
        </w:tc>
        <w:tc>
          <w:tcPr>
            <w:tcW w:w="1134" w:type="dxa"/>
          </w:tcPr>
          <w:p w14:paraId="146684E2" w14:textId="77777777" w:rsidR="00873A75" w:rsidRPr="0092626A" w:rsidRDefault="00873A75" w:rsidP="0092626A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  <w:vertAlign w:val="superscript"/>
              </w:rPr>
            </w:pPr>
            <w:r w:rsidRPr="0092626A">
              <w:rPr>
                <w:b/>
                <w:bCs/>
                <w:color w:val="000000" w:themeColor="text1"/>
                <w:szCs w:val="24"/>
              </w:rPr>
              <w:t>2555 m</w:t>
            </w:r>
            <w:r w:rsidRPr="0092626A">
              <w:rPr>
                <w:b/>
                <w:bCs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C0487AD" w14:textId="64DC56B2" w:rsidR="00873A75" w:rsidRPr="0092626A" w:rsidRDefault="00873A75" w:rsidP="0092626A">
            <w:pPr>
              <w:contextualSpacing/>
              <w:jc w:val="center"/>
              <w:rPr>
                <w:b/>
                <w:bCs/>
                <w:szCs w:val="24"/>
              </w:rPr>
            </w:pPr>
            <w:r w:rsidRPr="0092626A">
              <w:rPr>
                <w:b/>
                <w:bCs/>
                <w:szCs w:val="24"/>
              </w:rPr>
              <w:t>112,023</w:t>
            </w:r>
          </w:p>
        </w:tc>
      </w:tr>
      <w:tr w:rsidR="00873A75" w:rsidRPr="0092626A" w14:paraId="07DB76DD" w14:textId="77777777" w:rsidTr="008161ED">
        <w:trPr>
          <w:jc w:val="center"/>
        </w:trPr>
        <w:tc>
          <w:tcPr>
            <w:tcW w:w="8500" w:type="dxa"/>
            <w:gridSpan w:val="4"/>
          </w:tcPr>
          <w:p w14:paraId="691F4703" w14:textId="77777777" w:rsidR="00873A75" w:rsidRPr="0092626A" w:rsidRDefault="00873A75" w:rsidP="0092626A">
            <w:pPr>
              <w:contextualSpacing/>
              <w:jc w:val="right"/>
              <w:rPr>
                <w:bCs/>
                <w:szCs w:val="24"/>
              </w:rPr>
            </w:pPr>
            <w:r w:rsidRPr="0092626A">
              <w:rPr>
                <w:bCs/>
                <w:szCs w:val="24"/>
              </w:rPr>
              <w:t>Iš viso:</w:t>
            </w:r>
          </w:p>
        </w:tc>
        <w:tc>
          <w:tcPr>
            <w:tcW w:w="1418" w:type="dxa"/>
          </w:tcPr>
          <w:p w14:paraId="6FF43D2A" w14:textId="77777777" w:rsidR="00873A75" w:rsidRPr="0092626A" w:rsidRDefault="00873A75" w:rsidP="0092626A">
            <w:pPr>
              <w:contextualSpacing/>
              <w:jc w:val="center"/>
              <w:rPr>
                <w:bCs/>
                <w:szCs w:val="24"/>
              </w:rPr>
            </w:pPr>
            <w:r w:rsidRPr="0092626A">
              <w:rPr>
                <w:bCs/>
                <w:szCs w:val="24"/>
              </w:rPr>
              <w:t>1 175,524“</w:t>
            </w:r>
          </w:p>
        </w:tc>
      </w:tr>
    </w:tbl>
    <w:p w14:paraId="0BE36BE3" w14:textId="77777777" w:rsidR="00873A75" w:rsidRPr="0092626A" w:rsidRDefault="00873A75" w:rsidP="0092626A">
      <w:pPr>
        <w:contextualSpacing/>
        <w:jc w:val="both"/>
        <w:rPr>
          <w:szCs w:val="24"/>
          <w:lang w:eastAsia="lt-LT"/>
        </w:rPr>
      </w:pPr>
    </w:p>
    <w:p w14:paraId="7A127688" w14:textId="77777777" w:rsidR="00873A75" w:rsidRPr="0092626A" w:rsidRDefault="00873A75" w:rsidP="0092626A">
      <w:pPr>
        <w:contextualSpacing/>
        <w:jc w:val="both"/>
        <w:rPr>
          <w:szCs w:val="24"/>
          <w:lang w:eastAsia="lt-LT"/>
        </w:rPr>
      </w:pPr>
    </w:p>
    <w:p w14:paraId="153FAC5A" w14:textId="77777777" w:rsidR="00AD50EB" w:rsidRPr="0092626A" w:rsidRDefault="00AD50EB" w:rsidP="0092626A">
      <w:pPr>
        <w:ind w:firstLine="627"/>
        <w:contextualSpacing/>
        <w:jc w:val="both"/>
        <w:rPr>
          <w:b/>
          <w:bCs/>
          <w:szCs w:val="24"/>
          <w:lang w:eastAsia="lt-LT"/>
        </w:rPr>
      </w:pPr>
    </w:p>
    <w:p w14:paraId="5D90F00F" w14:textId="0B494CB4" w:rsidR="00AD50EB" w:rsidRPr="0092626A" w:rsidRDefault="00AD50EB" w:rsidP="0092626A">
      <w:pPr>
        <w:contextualSpacing/>
        <w:rPr>
          <w:b/>
          <w:bCs/>
          <w:szCs w:val="24"/>
          <w:lang w:eastAsia="lt-LT"/>
        </w:rPr>
      </w:pPr>
      <w:r w:rsidRPr="0092626A">
        <w:rPr>
          <w:sz w:val="22"/>
          <w:szCs w:val="22"/>
          <w:lang w:eastAsia="lt-LT"/>
        </w:rPr>
        <w:t>Savivaldybės meras</w:t>
      </w:r>
    </w:p>
    <w:sectPr w:rsidR="00AD50EB" w:rsidRPr="0092626A" w:rsidSect="0092626A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2061" w14:textId="77777777" w:rsidR="008F19E7" w:rsidRDefault="008F19E7" w:rsidP="00CE4FAA">
      <w:r>
        <w:separator/>
      </w:r>
    </w:p>
  </w:endnote>
  <w:endnote w:type="continuationSeparator" w:id="0">
    <w:p w14:paraId="3F7CDCC3" w14:textId="77777777" w:rsidR="008F19E7" w:rsidRDefault="008F19E7" w:rsidP="00CE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4CFE" w14:textId="77777777" w:rsidR="008F19E7" w:rsidRDefault="008F19E7" w:rsidP="00CE4FAA">
      <w:r>
        <w:separator/>
      </w:r>
    </w:p>
  </w:footnote>
  <w:footnote w:type="continuationSeparator" w:id="0">
    <w:p w14:paraId="6E72866A" w14:textId="77777777" w:rsidR="008F19E7" w:rsidRDefault="008F19E7" w:rsidP="00CE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2D58"/>
    <w:multiLevelType w:val="hybridMultilevel"/>
    <w:tmpl w:val="6EFAE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011F"/>
    <w:multiLevelType w:val="hybridMultilevel"/>
    <w:tmpl w:val="6EFA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2379B"/>
    <w:multiLevelType w:val="hybridMultilevel"/>
    <w:tmpl w:val="D7928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E2FF9"/>
    <w:multiLevelType w:val="hybridMultilevel"/>
    <w:tmpl w:val="6EFAE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026804">
    <w:abstractNumId w:val="1"/>
  </w:num>
  <w:num w:numId="2" w16cid:durableId="329336016">
    <w:abstractNumId w:val="3"/>
  </w:num>
  <w:num w:numId="3" w16cid:durableId="1331173940">
    <w:abstractNumId w:val="0"/>
  </w:num>
  <w:num w:numId="4" w16cid:durableId="2773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0A"/>
    <w:rsid w:val="0008392A"/>
    <w:rsid w:val="00147D95"/>
    <w:rsid w:val="00214201"/>
    <w:rsid w:val="00357336"/>
    <w:rsid w:val="003D7174"/>
    <w:rsid w:val="003F1464"/>
    <w:rsid w:val="004446BA"/>
    <w:rsid w:val="00500F9C"/>
    <w:rsid w:val="006B1AE2"/>
    <w:rsid w:val="00835460"/>
    <w:rsid w:val="00873A75"/>
    <w:rsid w:val="00886E17"/>
    <w:rsid w:val="008C6ABF"/>
    <w:rsid w:val="008F19E7"/>
    <w:rsid w:val="00906F1E"/>
    <w:rsid w:val="0092626A"/>
    <w:rsid w:val="009819F9"/>
    <w:rsid w:val="009D14FB"/>
    <w:rsid w:val="00A12B4D"/>
    <w:rsid w:val="00AD1FDF"/>
    <w:rsid w:val="00AD50EB"/>
    <w:rsid w:val="00B268A2"/>
    <w:rsid w:val="00B76256"/>
    <w:rsid w:val="00BD00E8"/>
    <w:rsid w:val="00C2775A"/>
    <w:rsid w:val="00C540A4"/>
    <w:rsid w:val="00CC7B0A"/>
    <w:rsid w:val="00CE392F"/>
    <w:rsid w:val="00CE4FAA"/>
    <w:rsid w:val="00D513CA"/>
    <w:rsid w:val="00F16BFC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1F29"/>
  <w15:chartTrackingRefBased/>
  <w15:docId w15:val="{1C733F25-D382-472A-B4AA-3058A7F0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B0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7B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7B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7B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7B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7B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7B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7B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7B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7B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7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7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7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7B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7B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7B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7B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7B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7B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7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7B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7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7B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7B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7B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7B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7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7B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7B0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E4FA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4FAA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E4FA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4FAA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3869</Words>
  <Characters>2206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Grinkevičienė</dc:creator>
  <cp:lastModifiedBy>Steponas Navajauskas</cp:lastModifiedBy>
  <cp:revision>16</cp:revision>
  <dcterms:created xsi:type="dcterms:W3CDTF">2025-06-16T12:53:00Z</dcterms:created>
  <dcterms:modified xsi:type="dcterms:W3CDTF">2025-06-23T11:42:00Z</dcterms:modified>
</cp:coreProperties>
</file>