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ED2AD" w14:textId="77777777" w:rsidR="005F4BD9" w:rsidRPr="009F48B7" w:rsidRDefault="005F4BD9" w:rsidP="00032429">
      <w:pPr>
        <w:pStyle w:val="Paantrat"/>
      </w:pPr>
      <w:r w:rsidRPr="009F48B7">
        <w:tab/>
      </w:r>
      <w:r w:rsidRPr="009F48B7">
        <w:tab/>
      </w:r>
      <w:r w:rsidRPr="009F48B7">
        <w:tab/>
      </w:r>
      <w:r w:rsidRPr="009F48B7">
        <w:tab/>
      </w:r>
      <w:r w:rsidRPr="009F48B7">
        <w:tab/>
      </w:r>
      <w:r w:rsidRPr="009F48B7">
        <w:tab/>
      </w:r>
      <w:r w:rsidRPr="009F48B7">
        <w:tab/>
      </w:r>
      <w:r w:rsidRPr="009F48B7">
        <w:tab/>
      </w:r>
      <w:r w:rsidRPr="009F48B7">
        <w:tab/>
      </w:r>
      <w:r w:rsidRPr="009F48B7">
        <w:tab/>
        <w:t>Projektas</w:t>
      </w:r>
    </w:p>
    <w:p w14:paraId="6684FC4E" w14:textId="77777777" w:rsidR="005F4BD9" w:rsidRPr="009F48B7" w:rsidRDefault="005F4BD9" w:rsidP="005F4BD9">
      <w:pPr>
        <w:ind w:left="3600" w:firstLine="720"/>
      </w:pPr>
      <w:r w:rsidRPr="009F48B7">
        <w:object w:dxaOrig="1346" w:dyaOrig="673" w14:anchorId="6B7A61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7" o:title=""/>
          </v:shape>
          <o:OLEObject Type="Embed" ProgID="Imaging.Document" ShapeID="_x0000_i1025" DrawAspect="Content" ObjectID="_1819541073" r:id="rId8"/>
        </w:object>
      </w:r>
    </w:p>
    <w:p w14:paraId="16D024CA" w14:textId="77777777" w:rsidR="005F4BD9" w:rsidRPr="009F48B7" w:rsidRDefault="005F4BD9" w:rsidP="005F4BD9">
      <w:pPr>
        <w:ind w:left="720"/>
        <w:jc w:val="center"/>
      </w:pPr>
      <w:r w:rsidRPr="009F48B7">
        <w:tab/>
      </w:r>
    </w:p>
    <w:p w14:paraId="4A2014CD" w14:textId="77777777" w:rsidR="005F4BD9" w:rsidRPr="009F48B7" w:rsidRDefault="005F4BD9" w:rsidP="005F4BD9">
      <w:pPr>
        <w:pStyle w:val="Paantrat"/>
        <w:rPr>
          <w:szCs w:val="24"/>
        </w:rPr>
      </w:pPr>
      <w:r w:rsidRPr="009F48B7">
        <w:rPr>
          <w:szCs w:val="24"/>
        </w:rPr>
        <w:t>KĖDAINIŲ RAJONO SAVIVALDYBĖS TARYBA</w:t>
      </w:r>
    </w:p>
    <w:p w14:paraId="4BCAD7E3" w14:textId="77777777" w:rsidR="005F4BD9" w:rsidRPr="009F48B7" w:rsidRDefault="005F4BD9" w:rsidP="005F4BD9">
      <w:pPr>
        <w:jc w:val="center"/>
        <w:rPr>
          <w:b/>
        </w:rPr>
      </w:pPr>
    </w:p>
    <w:p w14:paraId="3FC8EA05" w14:textId="77777777" w:rsidR="005F4BD9" w:rsidRPr="009F48B7" w:rsidRDefault="005F4BD9" w:rsidP="005F4BD9">
      <w:pPr>
        <w:jc w:val="center"/>
        <w:rPr>
          <w:b/>
        </w:rPr>
      </w:pPr>
      <w:r w:rsidRPr="009F48B7">
        <w:rPr>
          <w:b/>
        </w:rPr>
        <w:t>SPRENDIMAS</w:t>
      </w:r>
    </w:p>
    <w:p w14:paraId="19C69165" w14:textId="304FB47B" w:rsidR="00B05FFC" w:rsidRPr="009F48B7" w:rsidRDefault="008F5987" w:rsidP="005F4BD9">
      <w:pPr>
        <w:jc w:val="center"/>
      </w:pPr>
      <w:bookmarkStart w:id="0" w:name="_Hlk493058363"/>
      <w:r w:rsidRPr="009F48B7">
        <w:rPr>
          <w:b/>
        </w:rPr>
        <w:t xml:space="preserve">DĖL </w:t>
      </w:r>
      <w:r w:rsidR="00B1444A" w:rsidRPr="009F48B7">
        <w:rPr>
          <w:b/>
        </w:rPr>
        <w:t xml:space="preserve">KĖDAINIŲ RAJONO SAVIVALDYBĖS TARYBOS </w:t>
      </w:r>
      <w:r w:rsidR="001D2EC1" w:rsidRPr="009F48B7">
        <w:rPr>
          <w:b/>
        </w:rPr>
        <w:t>20</w:t>
      </w:r>
      <w:r w:rsidR="0078625A" w:rsidRPr="009F48B7">
        <w:rPr>
          <w:b/>
        </w:rPr>
        <w:t>2</w:t>
      </w:r>
      <w:r w:rsidR="00DA1EF8" w:rsidRPr="009F48B7">
        <w:rPr>
          <w:b/>
        </w:rPr>
        <w:t>5</w:t>
      </w:r>
      <w:r w:rsidR="001D2EC1" w:rsidRPr="009F48B7">
        <w:rPr>
          <w:b/>
        </w:rPr>
        <w:t xml:space="preserve"> M. </w:t>
      </w:r>
      <w:r w:rsidR="00666887" w:rsidRPr="009F48B7">
        <w:rPr>
          <w:b/>
        </w:rPr>
        <w:t>VASARIO</w:t>
      </w:r>
      <w:r w:rsidR="003D7A78" w:rsidRPr="009F48B7">
        <w:rPr>
          <w:b/>
        </w:rPr>
        <w:t xml:space="preserve"> </w:t>
      </w:r>
      <w:r w:rsidR="00DA1EF8" w:rsidRPr="009F48B7">
        <w:rPr>
          <w:b/>
        </w:rPr>
        <w:t>21</w:t>
      </w:r>
      <w:r w:rsidR="001D2EC1" w:rsidRPr="009F48B7">
        <w:rPr>
          <w:b/>
        </w:rPr>
        <w:t xml:space="preserve"> D. SPRENDIMO</w:t>
      </w:r>
      <w:r w:rsidR="00B1444A" w:rsidRPr="009F48B7">
        <w:rPr>
          <w:b/>
        </w:rPr>
        <w:t xml:space="preserve"> NR. TS</w:t>
      </w:r>
      <w:r w:rsidR="0039682F" w:rsidRPr="009F48B7">
        <w:rPr>
          <w:b/>
        </w:rPr>
        <w:t>-</w:t>
      </w:r>
      <w:r w:rsidR="00DA1EF8" w:rsidRPr="009F48B7">
        <w:rPr>
          <w:b/>
        </w:rPr>
        <w:t>1</w:t>
      </w:r>
      <w:r w:rsidR="00B1444A" w:rsidRPr="009F48B7">
        <w:rPr>
          <w:b/>
        </w:rPr>
        <w:t xml:space="preserve"> „DĖL KĖDAINIŲ RAJONO SAVIVALDYBĖS 20</w:t>
      </w:r>
      <w:r w:rsidR="008F3325" w:rsidRPr="009F48B7">
        <w:rPr>
          <w:b/>
        </w:rPr>
        <w:t>2</w:t>
      </w:r>
      <w:r w:rsidR="00DA1EF8" w:rsidRPr="009F48B7">
        <w:rPr>
          <w:b/>
        </w:rPr>
        <w:t>5</w:t>
      </w:r>
      <w:r w:rsidR="00B1444A" w:rsidRPr="009F48B7">
        <w:rPr>
          <w:b/>
        </w:rPr>
        <w:t>–20</w:t>
      </w:r>
      <w:r w:rsidR="006F1454" w:rsidRPr="009F48B7">
        <w:rPr>
          <w:b/>
        </w:rPr>
        <w:t>2</w:t>
      </w:r>
      <w:r w:rsidR="00DA1EF8" w:rsidRPr="009F48B7">
        <w:rPr>
          <w:b/>
        </w:rPr>
        <w:t>7</w:t>
      </w:r>
      <w:r w:rsidR="00B1444A" w:rsidRPr="009F48B7">
        <w:rPr>
          <w:b/>
        </w:rPr>
        <w:t xml:space="preserve"> METŲ STRATEGINIO VEIKLOS PLANO TVIRTINIMO“ PAKEITIMO</w:t>
      </w:r>
    </w:p>
    <w:bookmarkEnd w:id="0"/>
    <w:p w14:paraId="71C47F6B" w14:textId="77777777" w:rsidR="00B1444A" w:rsidRPr="009F48B7" w:rsidRDefault="00B1444A" w:rsidP="005F4BD9">
      <w:pPr>
        <w:jc w:val="center"/>
      </w:pPr>
    </w:p>
    <w:p w14:paraId="2B833890" w14:textId="7255877E" w:rsidR="009F48B7" w:rsidRPr="009F48B7" w:rsidRDefault="009F48B7" w:rsidP="009F48B7">
      <w:pPr>
        <w:contextualSpacing/>
        <w:jc w:val="center"/>
      </w:pPr>
      <w:bookmarkStart w:id="1" w:name="_Hlk207786081"/>
      <w:bookmarkStart w:id="2" w:name="_Hlk208906582"/>
      <w:r w:rsidRPr="009F48B7">
        <w:t>2025 m. rugsėjo 16 d. Nr. SP-</w:t>
      </w:r>
      <w:bookmarkEnd w:id="2"/>
      <w:r w:rsidRPr="009F48B7">
        <w:t>263</w:t>
      </w:r>
    </w:p>
    <w:bookmarkEnd w:id="1"/>
    <w:p w14:paraId="684A9A1A" w14:textId="77777777" w:rsidR="005F4BD9" w:rsidRPr="009F48B7" w:rsidRDefault="005F4BD9" w:rsidP="005F4BD9">
      <w:pPr>
        <w:jc w:val="center"/>
      </w:pPr>
      <w:r w:rsidRPr="009F48B7">
        <w:t>Kėdainiai</w:t>
      </w:r>
    </w:p>
    <w:p w14:paraId="1C6BE6E3" w14:textId="64C178FC" w:rsidR="009004DE" w:rsidRPr="009F48B7" w:rsidRDefault="009004DE" w:rsidP="009004DE">
      <w:pPr>
        <w:ind w:firstLine="720"/>
        <w:jc w:val="both"/>
      </w:pPr>
      <w:bookmarkStart w:id="3" w:name="_Hlk177392115"/>
    </w:p>
    <w:p w14:paraId="75B44205" w14:textId="77777777" w:rsidR="00CE15F9" w:rsidRPr="009F48B7" w:rsidRDefault="00CE15F9" w:rsidP="00CE15F9">
      <w:pPr>
        <w:ind w:firstLine="720"/>
        <w:jc w:val="both"/>
      </w:pPr>
    </w:p>
    <w:p w14:paraId="1AE32953" w14:textId="16B9EC8B" w:rsidR="00CE15F9" w:rsidRPr="009F48B7" w:rsidRDefault="00CE15F9" w:rsidP="009F48B7">
      <w:pPr>
        <w:ind w:firstLine="851"/>
        <w:jc w:val="both"/>
      </w:pPr>
      <w:r w:rsidRPr="009F48B7">
        <w:t xml:space="preserve">Kėdainių rajono savivaldybės taryba  </w:t>
      </w:r>
      <w:r w:rsidRPr="009F48B7">
        <w:rPr>
          <w:spacing w:val="40"/>
        </w:rPr>
        <w:t>nusprendžia:</w:t>
      </w:r>
    </w:p>
    <w:p w14:paraId="17B51F69" w14:textId="2F9590CE" w:rsidR="00CE15F9" w:rsidRPr="009F48B7" w:rsidRDefault="00CE15F9" w:rsidP="009F48B7">
      <w:pPr>
        <w:ind w:firstLine="851"/>
        <w:jc w:val="both"/>
      </w:pPr>
      <w:r w:rsidRPr="009F48B7">
        <w:t>Pakeisti</w:t>
      </w:r>
      <w:r w:rsidR="0059354D" w:rsidRPr="009F48B7">
        <w:t xml:space="preserve"> </w:t>
      </w:r>
      <w:r w:rsidRPr="009F48B7">
        <w:t>Kėdainių rajono savivaldybės 202</w:t>
      </w:r>
      <w:r w:rsidR="00DA1EF8" w:rsidRPr="009F48B7">
        <w:t>5</w:t>
      </w:r>
      <w:r w:rsidRPr="009F48B7">
        <w:t>–202</w:t>
      </w:r>
      <w:r w:rsidR="00DA1EF8" w:rsidRPr="009F48B7">
        <w:t>7</w:t>
      </w:r>
      <w:r w:rsidRPr="009F48B7">
        <w:t xml:space="preserve"> metų strategin</w:t>
      </w:r>
      <w:r w:rsidR="0059354D" w:rsidRPr="009F48B7">
        <w:t>į</w:t>
      </w:r>
      <w:r w:rsidRPr="009F48B7">
        <w:t xml:space="preserve"> veiklos plan</w:t>
      </w:r>
      <w:r w:rsidR="0059354D" w:rsidRPr="009F48B7">
        <w:t>ą</w:t>
      </w:r>
      <w:r w:rsidRPr="009F48B7">
        <w:t>, patvirtintą Kėdainių rajono savivaldybės tarybos 202</w:t>
      </w:r>
      <w:r w:rsidR="00DA1EF8" w:rsidRPr="009F48B7">
        <w:t>5</w:t>
      </w:r>
      <w:r w:rsidRPr="009F48B7">
        <w:t xml:space="preserve"> m. vasario </w:t>
      </w:r>
      <w:r w:rsidR="00DA1EF8" w:rsidRPr="009F48B7">
        <w:t>21</w:t>
      </w:r>
      <w:r w:rsidRPr="009F48B7">
        <w:t xml:space="preserve"> d. sprendimu Nr. TS-</w:t>
      </w:r>
      <w:r w:rsidR="00DA1EF8" w:rsidRPr="009F48B7">
        <w:t>1</w:t>
      </w:r>
      <w:r w:rsidRPr="009F48B7">
        <w:t xml:space="preserve"> „Dėl Kėdainių rajono savivaldybės 202</w:t>
      </w:r>
      <w:r w:rsidR="00DA1EF8" w:rsidRPr="009F48B7">
        <w:t>5</w:t>
      </w:r>
      <w:r w:rsidRPr="009F48B7">
        <w:t>–202</w:t>
      </w:r>
      <w:r w:rsidR="00DA1EF8" w:rsidRPr="009F48B7">
        <w:t>7</w:t>
      </w:r>
      <w:r w:rsidRPr="009F48B7">
        <w:t xml:space="preserve"> metų strateginio veiklos plano tvirtinimo“:</w:t>
      </w:r>
    </w:p>
    <w:p w14:paraId="1A82B2D9" w14:textId="6CA5FBC5" w:rsidR="00CE15F9" w:rsidRPr="009F48B7" w:rsidRDefault="00CE15F9" w:rsidP="009F48B7">
      <w:pPr>
        <w:ind w:firstLine="851"/>
        <w:jc w:val="both"/>
      </w:pPr>
      <w:r w:rsidRPr="009F48B7">
        <w:t>1. Pakeisti 1 priedą ir jį išdėstyti nauja redakcija (pridedama)</w:t>
      </w:r>
      <w:r w:rsidR="00735703" w:rsidRPr="009F48B7">
        <w:t>.</w:t>
      </w:r>
    </w:p>
    <w:p w14:paraId="64687316" w14:textId="77777777" w:rsidR="0032072B" w:rsidRPr="009F48B7" w:rsidRDefault="00CE15F9" w:rsidP="009F48B7">
      <w:pPr>
        <w:ind w:firstLine="851"/>
        <w:jc w:val="both"/>
      </w:pPr>
      <w:r w:rsidRPr="009F48B7">
        <w:t>2. Pakeisti 2 pried</w:t>
      </w:r>
      <w:r w:rsidR="0032072B" w:rsidRPr="009F48B7">
        <w:t>ą:</w:t>
      </w:r>
    </w:p>
    <w:p w14:paraId="2313EF0C" w14:textId="719DE94D" w:rsidR="00CE15F9" w:rsidRPr="009F48B7" w:rsidRDefault="0032072B" w:rsidP="009F48B7">
      <w:pPr>
        <w:ind w:firstLine="851"/>
        <w:jc w:val="both"/>
      </w:pPr>
      <w:r w:rsidRPr="009F48B7">
        <w:t xml:space="preserve">2.1. pakeisti </w:t>
      </w:r>
      <w:r w:rsidR="00735703" w:rsidRPr="009F48B7">
        <w:t>Pirminės asmens sveikatos priežiūros prieinamumo ir kokybės užtikrinimo Kėdainių rajono kaimiškųjų vietovių gyventojams 2017–2028 m. programos 2025 m. paraišką ir ją išdėstyti nauja redakcija (pridedama);</w:t>
      </w:r>
    </w:p>
    <w:p w14:paraId="7FD6DA17" w14:textId="45E52E22" w:rsidR="00735703" w:rsidRPr="009F48B7" w:rsidRDefault="00735703" w:rsidP="009F48B7">
      <w:pPr>
        <w:ind w:firstLine="851"/>
        <w:jc w:val="both"/>
      </w:pPr>
      <w:r w:rsidRPr="009F48B7">
        <w:t>2.2. pakeisti Sveikatos priežiūros specialistų skatinimo dirbti VšĮ Kėdainių ligoninėje 2023–2026 m. programos 2025 m. paraišką ir ją išdėstyti nauja redakcija (pridedama);</w:t>
      </w:r>
    </w:p>
    <w:p w14:paraId="646AEE3E" w14:textId="41574DE7" w:rsidR="00735703" w:rsidRPr="009F48B7" w:rsidRDefault="00735703" w:rsidP="009F48B7">
      <w:pPr>
        <w:ind w:firstLine="851"/>
        <w:jc w:val="both"/>
      </w:pPr>
      <w:r w:rsidRPr="009F48B7">
        <w:t>2.3. pakeisti Tinkamų ir saugių darbo sąlygų užtikrinimo VšĮ Kėdainių ligoninėje 2023–2028 m.  programos 2025 m. paraišką ir ją išdėstyti nauja redakcija (pridedama);</w:t>
      </w:r>
    </w:p>
    <w:p w14:paraId="38C7930F" w14:textId="26B65C96" w:rsidR="00735703" w:rsidRPr="009F48B7" w:rsidRDefault="00735703" w:rsidP="009F48B7">
      <w:pPr>
        <w:ind w:firstLine="851"/>
        <w:jc w:val="both"/>
      </w:pPr>
      <w:r w:rsidRPr="009F48B7">
        <w:t>2.4. papildyti Mobilios ambulatorijos įsigijimo sveikatos priežiūros paslaugų prieinamumui gerinti Kėdainių rajono kaimo ir nutolusiose teritorijose programos 2026 m. paraiška (pridedama);</w:t>
      </w:r>
    </w:p>
    <w:p w14:paraId="5BA7866B" w14:textId="67CD9D00" w:rsidR="00735703" w:rsidRPr="009F48B7" w:rsidRDefault="00735703" w:rsidP="009F48B7">
      <w:pPr>
        <w:ind w:firstLine="851"/>
        <w:jc w:val="both"/>
      </w:pPr>
      <w:r w:rsidRPr="009F48B7">
        <w:t xml:space="preserve">2.5. papildyti VšĮ </w:t>
      </w:r>
      <w:r w:rsidR="00CE5ECD" w:rsidRPr="009F48B7">
        <w:t xml:space="preserve">Kėdainių ligoninės </w:t>
      </w:r>
      <w:r w:rsidR="00AF5F5E" w:rsidRPr="009F48B7">
        <w:t>K</w:t>
      </w:r>
      <w:r w:rsidR="00CE5ECD" w:rsidRPr="009F48B7">
        <w:t>linikinės diagnostikos ir patologijos laboratorijos patalpų įrengimo ir esamos laboratorijos iškėlimo 2025–2026 m. programos 2025 m. paraiška (pridedama).</w:t>
      </w:r>
    </w:p>
    <w:p w14:paraId="4BCDC568" w14:textId="63EF6FDA" w:rsidR="009004DE" w:rsidRPr="009F48B7" w:rsidRDefault="009004DE" w:rsidP="009004DE">
      <w:pPr>
        <w:jc w:val="both"/>
      </w:pPr>
    </w:p>
    <w:bookmarkEnd w:id="3"/>
    <w:p w14:paraId="22F96EDB" w14:textId="77777777" w:rsidR="009642D5" w:rsidRPr="009F48B7" w:rsidRDefault="009642D5" w:rsidP="009642D5">
      <w:pPr>
        <w:jc w:val="both"/>
      </w:pPr>
    </w:p>
    <w:p w14:paraId="561E8872" w14:textId="77777777" w:rsidR="005F4BD9" w:rsidRPr="009F48B7" w:rsidRDefault="005F4BD9" w:rsidP="005F4BD9">
      <w:pPr>
        <w:pStyle w:val="Textbeitrauku"/>
      </w:pPr>
    </w:p>
    <w:p w14:paraId="6C6562CA" w14:textId="77777777" w:rsidR="005F4BD9" w:rsidRPr="009F48B7" w:rsidRDefault="005F4BD9" w:rsidP="005F4BD9">
      <w:pPr>
        <w:jc w:val="both"/>
      </w:pPr>
      <w:r w:rsidRPr="009F48B7">
        <w:t>Savivaldybės meras</w:t>
      </w:r>
      <w:r w:rsidRPr="009F48B7">
        <w:tab/>
      </w:r>
      <w:r w:rsidRPr="009F48B7">
        <w:tab/>
      </w:r>
      <w:r w:rsidRPr="009F48B7">
        <w:tab/>
      </w:r>
      <w:r w:rsidRPr="009F48B7">
        <w:tab/>
      </w:r>
      <w:r w:rsidRPr="009F48B7">
        <w:tab/>
      </w:r>
      <w:r w:rsidRPr="009F48B7">
        <w:tab/>
      </w:r>
      <w:r w:rsidRPr="009F48B7">
        <w:tab/>
      </w:r>
      <w:r w:rsidRPr="009F48B7">
        <w:tab/>
      </w:r>
    </w:p>
    <w:p w14:paraId="088BD65F" w14:textId="77777777" w:rsidR="005F4BD9" w:rsidRPr="009F48B7" w:rsidRDefault="005F4BD9" w:rsidP="005F4BD9">
      <w:pPr>
        <w:jc w:val="both"/>
      </w:pPr>
    </w:p>
    <w:p w14:paraId="77ABBF11" w14:textId="77777777" w:rsidR="005F4BD9" w:rsidRPr="009F48B7" w:rsidRDefault="005F4BD9" w:rsidP="005F4BD9">
      <w:pPr>
        <w:jc w:val="both"/>
      </w:pPr>
    </w:p>
    <w:p w14:paraId="7FF97783" w14:textId="77777777" w:rsidR="005F4BD9" w:rsidRPr="009F48B7" w:rsidRDefault="005F4BD9" w:rsidP="005F4BD9">
      <w:pPr>
        <w:jc w:val="both"/>
      </w:pPr>
    </w:p>
    <w:p w14:paraId="206AC92A" w14:textId="77777777" w:rsidR="005F4BD9" w:rsidRPr="009F48B7" w:rsidRDefault="005F4BD9" w:rsidP="005F4BD9">
      <w:pPr>
        <w:jc w:val="both"/>
      </w:pPr>
    </w:p>
    <w:p w14:paraId="3BB4224E" w14:textId="77777777" w:rsidR="005F4BD9" w:rsidRPr="009F48B7" w:rsidRDefault="005F4BD9" w:rsidP="005F4BD9">
      <w:pPr>
        <w:jc w:val="both"/>
      </w:pPr>
    </w:p>
    <w:p w14:paraId="0894E035" w14:textId="77777777" w:rsidR="005F4BD9" w:rsidRPr="009F48B7" w:rsidRDefault="005F4BD9" w:rsidP="005F4BD9">
      <w:pPr>
        <w:jc w:val="both"/>
      </w:pPr>
    </w:p>
    <w:p w14:paraId="526A0ADF" w14:textId="77777777" w:rsidR="005F4BD9" w:rsidRPr="009F48B7" w:rsidRDefault="005F4BD9" w:rsidP="005F4BD9">
      <w:pPr>
        <w:jc w:val="both"/>
      </w:pPr>
    </w:p>
    <w:p w14:paraId="49300100" w14:textId="77777777" w:rsidR="005F4BD9" w:rsidRPr="009F48B7" w:rsidRDefault="005F4BD9" w:rsidP="005F4BD9">
      <w:pPr>
        <w:jc w:val="both"/>
      </w:pPr>
    </w:p>
    <w:p w14:paraId="51A33DBB" w14:textId="77777777" w:rsidR="005F4BD9" w:rsidRPr="009F48B7" w:rsidRDefault="005F4BD9" w:rsidP="005F4BD9">
      <w:pPr>
        <w:jc w:val="both"/>
      </w:pPr>
    </w:p>
    <w:p w14:paraId="7E841BE0" w14:textId="77777777" w:rsidR="005F4BD9" w:rsidRPr="009F48B7" w:rsidRDefault="005F4BD9" w:rsidP="005F4BD9">
      <w:pPr>
        <w:jc w:val="both"/>
      </w:pPr>
    </w:p>
    <w:p w14:paraId="2D2E64A0" w14:textId="77777777" w:rsidR="005F4BD9" w:rsidRPr="009F48B7" w:rsidRDefault="005F4BD9" w:rsidP="005F4BD9">
      <w:pPr>
        <w:jc w:val="both"/>
      </w:pPr>
    </w:p>
    <w:p w14:paraId="41D4DB0B" w14:textId="77777777" w:rsidR="0025108B" w:rsidRPr="009F48B7" w:rsidRDefault="0025108B" w:rsidP="005F4BD9">
      <w:pPr>
        <w:jc w:val="both"/>
      </w:pPr>
    </w:p>
    <w:p w14:paraId="1DE41355" w14:textId="77777777" w:rsidR="009642D5" w:rsidRPr="009F48B7" w:rsidRDefault="009642D5" w:rsidP="005F4BD9">
      <w:pPr>
        <w:jc w:val="both"/>
      </w:pPr>
    </w:p>
    <w:p w14:paraId="2CEEFF8D" w14:textId="77777777" w:rsidR="008F3325" w:rsidRPr="009F48B7" w:rsidRDefault="008F3325" w:rsidP="005F4BD9">
      <w:pPr>
        <w:jc w:val="both"/>
      </w:pPr>
    </w:p>
    <w:p w14:paraId="67CE8782" w14:textId="77777777" w:rsidR="008F3325" w:rsidRPr="009F48B7" w:rsidRDefault="008F3325" w:rsidP="005F4BD9">
      <w:pPr>
        <w:jc w:val="both"/>
      </w:pPr>
    </w:p>
    <w:p w14:paraId="007E8FC6" w14:textId="4F4A7A3F" w:rsidR="00A735B8" w:rsidRPr="009F48B7" w:rsidRDefault="00A735B8" w:rsidP="00A735B8">
      <w:pPr>
        <w:ind w:left="5040"/>
        <w:rPr>
          <w:sz w:val="22"/>
          <w:szCs w:val="22"/>
        </w:rPr>
      </w:pPr>
      <w:r w:rsidRPr="009F48B7">
        <w:rPr>
          <w:sz w:val="22"/>
          <w:szCs w:val="22"/>
        </w:rPr>
        <w:t>Forma patvirtinta Kėdainių rajono</w:t>
      </w:r>
      <w:r w:rsidRPr="009F48B7">
        <w:rPr>
          <w:sz w:val="22"/>
          <w:szCs w:val="22"/>
        </w:rPr>
        <w:tab/>
      </w:r>
    </w:p>
    <w:p w14:paraId="125E3EED" w14:textId="77777777" w:rsidR="00A735B8" w:rsidRPr="009F48B7" w:rsidRDefault="00A735B8" w:rsidP="00A735B8">
      <w:pPr>
        <w:ind w:left="5040"/>
        <w:rPr>
          <w:sz w:val="22"/>
          <w:szCs w:val="22"/>
        </w:rPr>
      </w:pPr>
      <w:r w:rsidRPr="009F48B7">
        <w:rPr>
          <w:sz w:val="22"/>
          <w:szCs w:val="22"/>
        </w:rPr>
        <w:t>Savivaldybės mero 2014 m. sausio  20  d.</w:t>
      </w:r>
    </w:p>
    <w:p w14:paraId="44A0D314" w14:textId="77777777" w:rsidR="00A735B8" w:rsidRPr="009F48B7" w:rsidRDefault="00A735B8" w:rsidP="00A735B8">
      <w:pPr>
        <w:ind w:left="5040"/>
        <w:rPr>
          <w:sz w:val="22"/>
          <w:szCs w:val="22"/>
        </w:rPr>
      </w:pPr>
      <w:r w:rsidRPr="009F48B7">
        <w:rPr>
          <w:sz w:val="22"/>
          <w:szCs w:val="22"/>
        </w:rPr>
        <w:t>potvarkiu Nr. MP1- 2</w:t>
      </w:r>
    </w:p>
    <w:p w14:paraId="68CE8875" w14:textId="77777777" w:rsidR="00CA636B" w:rsidRPr="009F48B7" w:rsidRDefault="00CA636B" w:rsidP="00000655">
      <w:pPr>
        <w:jc w:val="both"/>
        <w:rPr>
          <w:kern w:val="1"/>
        </w:rPr>
      </w:pPr>
      <w:r w:rsidRPr="009F48B7">
        <w:rPr>
          <w:kern w:val="1"/>
        </w:rPr>
        <w:t>Kėdainių rajono savivaldybės tarybai</w:t>
      </w:r>
    </w:p>
    <w:p w14:paraId="5655DF19" w14:textId="77777777" w:rsidR="00CA636B" w:rsidRPr="009F48B7" w:rsidRDefault="00CA636B" w:rsidP="00CA636B">
      <w:pPr>
        <w:rPr>
          <w:kern w:val="1"/>
        </w:rPr>
      </w:pPr>
    </w:p>
    <w:p w14:paraId="375C9FD1" w14:textId="77777777" w:rsidR="00B87785" w:rsidRPr="009F48B7" w:rsidRDefault="00B87785" w:rsidP="00AF473F">
      <w:pPr>
        <w:jc w:val="center"/>
        <w:rPr>
          <w:b/>
        </w:rPr>
      </w:pPr>
    </w:p>
    <w:p w14:paraId="7AF020ED" w14:textId="77777777" w:rsidR="00DA1EF8" w:rsidRPr="009F48B7" w:rsidRDefault="00DA1EF8" w:rsidP="00DA1EF8">
      <w:pPr>
        <w:jc w:val="center"/>
      </w:pPr>
      <w:r w:rsidRPr="009F48B7">
        <w:rPr>
          <w:b/>
        </w:rPr>
        <w:t>DĖL KĖDAINIŲ RAJONO SAVIVALDYBĖS TARYBOS 2025 M. VASARIO 21 D. SPRENDIMO NR. TS-1 „DĖL KĖDAINIŲ RAJONO SAVIVALDYBĖS 2025–2027 METŲ STRATEGINIO VEIKLOS PLANO TVIRTINIMO“ PAKEITIMO</w:t>
      </w:r>
    </w:p>
    <w:p w14:paraId="0409B77D" w14:textId="77777777" w:rsidR="000D1A4D" w:rsidRPr="009F48B7" w:rsidRDefault="000D1A4D" w:rsidP="00CA636B">
      <w:pPr>
        <w:jc w:val="center"/>
      </w:pPr>
    </w:p>
    <w:p w14:paraId="03D0F1D5" w14:textId="0C5E689F" w:rsidR="00CA636B" w:rsidRPr="009F48B7" w:rsidRDefault="000D1A4D" w:rsidP="00CA636B">
      <w:pPr>
        <w:jc w:val="center"/>
      </w:pPr>
      <w:r w:rsidRPr="009F48B7">
        <w:t>2</w:t>
      </w:r>
      <w:r w:rsidR="00CA636B" w:rsidRPr="009F48B7">
        <w:t>0</w:t>
      </w:r>
      <w:r w:rsidR="00D96CCB" w:rsidRPr="009F48B7">
        <w:t>2</w:t>
      </w:r>
      <w:r w:rsidR="00DA1EF8" w:rsidRPr="009F48B7">
        <w:t>5</w:t>
      </w:r>
      <w:r w:rsidR="00666887" w:rsidRPr="009F48B7">
        <w:t xml:space="preserve"> </w:t>
      </w:r>
      <w:r w:rsidR="00CA636B" w:rsidRPr="009F48B7">
        <w:t xml:space="preserve">m. </w:t>
      </w:r>
      <w:r w:rsidR="00666887" w:rsidRPr="009F48B7">
        <w:t xml:space="preserve">rugsėjo </w:t>
      </w:r>
      <w:r w:rsidR="00F4389A" w:rsidRPr="009F48B7">
        <w:t xml:space="preserve"> </w:t>
      </w:r>
      <w:r w:rsidR="00DA1EF8" w:rsidRPr="009F48B7">
        <w:t xml:space="preserve">12 </w:t>
      </w:r>
      <w:r w:rsidR="00CA636B" w:rsidRPr="009F48B7">
        <w:t>d.</w:t>
      </w:r>
    </w:p>
    <w:p w14:paraId="01DA2D6F" w14:textId="77777777" w:rsidR="00CA636B" w:rsidRPr="009F48B7" w:rsidRDefault="00CA636B" w:rsidP="00CA636B">
      <w:pPr>
        <w:jc w:val="center"/>
      </w:pPr>
      <w:r w:rsidRPr="009F48B7">
        <w:t>Kėdainiai</w:t>
      </w:r>
    </w:p>
    <w:p w14:paraId="2A0D9F84" w14:textId="77777777" w:rsidR="00CA636B" w:rsidRPr="009F48B7" w:rsidRDefault="00CA636B" w:rsidP="000F3B26">
      <w:pPr>
        <w:spacing w:line="264" w:lineRule="auto"/>
        <w:ind w:firstLine="709"/>
        <w:rPr>
          <w:color w:val="FF0000"/>
          <w:kern w:val="1"/>
        </w:rPr>
      </w:pPr>
    </w:p>
    <w:p w14:paraId="67AD5A87" w14:textId="77777777" w:rsidR="00B91544" w:rsidRPr="009F48B7" w:rsidRDefault="00B91544" w:rsidP="001575A6">
      <w:pPr>
        <w:tabs>
          <w:tab w:val="left" w:pos="1134"/>
        </w:tabs>
        <w:spacing w:line="264" w:lineRule="auto"/>
        <w:ind w:firstLine="720"/>
        <w:jc w:val="both"/>
        <w:rPr>
          <w:b/>
          <w:kern w:val="2"/>
        </w:rPr>
      </w:pPr>
      <w:r w:rsidRPr="009F48B7">
        <w:rPr>
          <w:b/>
          <w:kern w:val="2"/>
        </w:rPr>
        <w:t>Parengto sprendimo projekto tikslai:</w:t>
      </w:r>
    </w:p>
    <w:p w14:paraId="0076DA25" w14:textId="7740AF01" w:rsidR="00B91544" w:rsidRPr="009F48B7" w:rsidRDefault="00C24E85" w:rsidP="001575A6">
      <w:pPr>
        <w:pStyle w:val="Sraopastraipa"/>
        <w:tabs>
          <w:tab w:val="left" w:pos="1134"/>
        </w:tabs>
        <w:spacing w:line="264" w:lineRule="auto"/>
        <w:ind w:left="0" w:firstLine="720"/>
        <w:jc w:val="both"/>
        <w:rPr>
          <w:rFonts w:ascii="Times New Roman" w:hAnsi="Times New Roman"/>
          <w:sz w:val="24"/>
          <w:szCs w:val="24"/>
        </w:rPr>
      </w:pPr>
      <w:r w:rsidRPr="009F48B7">
        <w:rPr>
          <w:rFonts w:ascii="Times New Roman" w:hAnsi="Times New Roman"/>
          <w:sz w:val="24"/>
          <w:szCs w:val="24"/>
        </w:rPr>
        <w:t>P</w:t>
      </w:r>
      <w:r w:rsidR="00B91544" w:rsidRPr="009F48B7">
        <w:rPr>
          <w:rFonts w:ascii="Times New Roman" w:hAnsi="Times New Roman"/>
          <w:sz w:val="24"/>
          <w:szCs w:val="24"/>
        </w:rPr>
        <w:t>atikslinti Kėdainių rajono savivaldybės 202</w:t>
      </w:r>
      <w:r w:rsidR="00DA1EF8" w:rsidRPr="009F48B7">
        <w:rPr>
          <w:rFonts w:ascii="Times New Roman" w:hAnsi="Times New Roman"/>
          <w:sz w:val="24"/>
          <w:szCs w:val="24"/>
        </w:rPr>
        <w:t>5</w:t>
      </w:r>
      <w:r w:rsidR="00B91544" w:rsidRPr="009F48B7">
        <w:rPr>
          <w:rFonts w:ascii="Times New Roman" w:hAnsi="Times New Roman"/>
          <w:sz w:val="24"/>
          <w:szCs w:val="24"/>
        </w:rPr>
        <w:t>–202</w:t>
      </w:r>
      <w:r w:rsidR="00DA1EF8" w:rsidRPr="009F48B7">
        <w:rPr>
          <w:rFonts w:ascii="Times New Roman" w:hAnsi="Times New Roman"/>
          <w:sz w:val="24"/>
          <w:szCs w:val="24"/>
        </w:rPr>
        <w:t>7</w:t>
      </w:r>
      <w:r w:rsidR="00B91544" w:rsidRPr="009F48B7">
        <w:rPr>
          <w:rFonts w:ascii="Times New Roman" w:hAnsi="Times New Roman"/>
          <w:sz w:val="24"/>
          <w:szCs w:val="24"/>
        </w:rPr>
        <w:t xml:space="preserve"> metų strategin</w:t>
      </w:r>
      <w:r w:rsidR="0059354D" w:rsidRPr="009F48B7">
        <w:rPr>
          <w:rFonts w:ascii="Times New Roman" w:hAnsi="Times New Roman"/>
          <w:sz w:val="24"/>
          <w:szCs w:val="24"/>
        </w:rPr>
        <w:t xml:space="preserve">į </w:t>
      </w:r>
      <w:r w:rsidR="00B91544" w:rsidRPr="009F48B7">
        <w:rPr>
          <w:rFonts w:ascii="Times New Roman" w:hAnsi="Times New Roman"/>
          <w:sz w:val="24"/>
          <w:szCs w:val="24"/>
        </w:rPr>
        <w:t>veiklos plan</w:t>
      </w:r>
      <w:r w:rsidR="0059354D" w:rsidRPr="009F48B7">
        <w:rPr>
          <w:rFonts w:ascii="Times New Roman" w:hAnsi="Times New Roman"/>
          <w:sz w:val="24"/>
          <w:szCs w:val="24"/>
        </w:rPr>
        <w:t xml:space="preserve">ą </w:t>
      </w:r>
      <w:r w:rsidR="00B91544" w:rsidRPr="009F48B7">
        <w:rPr>
          <w:rFonts w:ascii="Times New Roman" w:hAnsi="Times New Roman"/>
          <w:sz w:val="24"/>
          <w:szCs w:val="24"/>
        </w:rPr>
        <w:t>(toliau – Veiklos planas), siekiant reaguoti į pokyčius ir užtikrinti tinkamą Veiklos plano uždavinių ir priemonių įgyvendinimą.</w:t>
      </w:r>
    </w:p>
    <w:p w14:paraId="5D02BA37" w14:textId="77777777" w:rsidR="001575A6" w:rsidRPr="009F48B7" w:rsidRDefault="001575A6" w:rsidP="001575A6">
      <w:pPr>
        <w:spacing w:line="264" w:lineRule="auto"/>
        <w:ind w:firstLine="709"/>
        <w:jc w:val="both"/>
        <w:rPr>
          <w:b/>
          <w:kern w:val="2"/>
        </w:rPr>
      </w:pPr>
    </w:p>
    <w:p w14:paraId="6A9B5C89" w14:textId="1AD0F2E3" w:rsidR="00B91544" w:rsidRPr="009F48B7" w:rsidRDefault="00B91544" w:rsidP="001575A6">
      <w:pPr>
        <w:spacing w:line="264" w:lineRule="auto"/>
        <w:ind w:firstLine="709"/>
        <w:jc w:val="both"/>
        <w:rPr>
          <w:b/>
          <w:kern w:val="2"/>
        </w:rPr>
      </w:pPr>
      <w:r w:rsidRPr="009F48B7">
        <w:rPr>
          <w:b/>
          <w:kern w:val="2"/>
        </w:rPr>
        <w:t>Sprendimo projekto esmė</w:t>
      </w:r>
      <w:r w:rsidRPr="009F48B7">
        <w:rPr>
          <w:kern w:val="2"/>
        </w:rPr>
        <w:t xml:space="preserve">, </w:t>
      </w:r>
      <w:r w:rsidRPr="009F48B7">
        <w:rPr>
          <w:b/>
          <w:kern w:val="2"/>
        </w:rPr>
        <w:t xml:space="preserve">rengimo priežastys ir motyvai: </w:t>
      </w:r>
    </w:p>
    <w:p w14:paraId="6539DC38" w14:textId="2C86129D" w:rsidR="00B91544" w:rsidRPr="009F48B7" w:rsidRDefault="00B91544" w:rsidP="001575A6">
      <w:pPr>
        <w:pStyle w:val="Sraopastraipa"/>
        <w:tabs>
          <w:tab w:val="left" w:pos="1134"/>
        </w:tabs>
        <w:spacing w:line="264" w:lineRule="auto"/>
        <w:ind w:left="0" w:firstLine="720"/>
        <w:jc w:val="both"/>
        <w:rPr>
          <w:rFonts w:ascii="Times New Roman" w:hAnsi="Times New Roman"/>
          <w:bCs/>
          <w:sz w:val="24"/>
          <w:szCs w:val="24"/>
          <w:lang w:bidi="lo-LA"/>
        </w:rPr>
      </w:pPr>
      <w:r w:rsidRPr="009F48B7">
        <w:rPr>
          <w:rFonts w:ascii="Times New Roman" w:hAnsi="Times New Roman"/>
          <w:sz w:val="24"/>
          <w:szCs w:val="24"/>
        </w:rPr>
        <w:t>20</w:t>
      </w:r>
      <w:r w:rsidR="0078625A" w:rsidRPr="009F48B7">
        <w:rPr>
          <w:rFonts w:ascii="Times New Roman" w:hAnsi="Times New Roman"/>
          <w:sz w:val="24"/>
          <w:szCs w:val="24"/>
        </w:rPr>
        <w:t>2</w:t>
      </w:r>
      <w:r w:rsidR="00DA1EF8" w:rsidRPr="009F48B7">
        <w:rPr>
          <w:rFonts w:ascii="Times New Roman" w:hAnsi="Times New Roman"/>
          <w:sz w:val="24"/>
          <w:szCs w:val="24"/>
        </w:rPr>
        <w:t>5</w:t>
      </w:r>
      <w:r w:rsidRPr="009F48B7">
        <w:rPr>
          <w:rFonts w:ascii="Times New Roman" w:hAnsi="Times New Roman"/>
          <w:sz w:val="24"/>
          <w:szCs w:val="24"/>
        </w:rPr>
        <w:t xml:space="preserve"> m. </w:t>
      </w:r>
      <w:r w:rsidR="00666887" w:rsidRPr="009F48B7">
        <w:rPr>
          <w:rFonts w:ascii="Times New Roman" w:hAnsi="Times New Roman"/>
          <w:sz w:val="24"/>
          <w:szCs w:val="24"/>
        </w:rPr>
        <w:t>vasario</w:t>
      </w:r>
      <w:r w:rsidRPr="009F48B7">
        <w:rPr>
          <w:rFonts w:ascii="Times New Roman" w:hAnsi="Times New Roman"/>
          <w:sz w:val="24"/>
          <w:szCs w:val="24"/>
        </w:rPr>
        <w:t xml:space="preserve"> </w:t>
      </w:r>
      <w:r w:rsidR="00DA1EF8" w:rsidRPr="009F48B7">
        <w:rPr>
          <w:rFonts w:ascii="Times New Roman" w:hAnsi="Times New Roman"/>
          <w:sz w:val="24"/>
          <w:szCs w:val="24"/>
        </w:rPr>
        <w:t>21</w:t>
      </w:r>
      <w:r w:rsidRPr="009F48B7">
        <w:rPr>
          <w:rFonts w:ascii="Times New Roman" w:hAnsi="Times New Roman"/>
          <w:sz w:val="24"/>
          <w:szCs w:val="24"/>
        </w:rPr>
        <w:t xml:space="preserve"> d. Kėdainių rajono savivaldybės (toliau – </w:t>
      </w:r>
      <w:r w:rsidR="0059354D" w:rsidRPr="009F48B7">
        <w:rPr>
          <w:rFonts w:ascii="Times New Roman" w:hAnsi="Times New Roman"/>
          <w:sz w:val="24"/>
          <w:szCs w:val="24"/>
        </w:rPr>
        <w:t>S</w:t>
      </w:r>
      <w:r w:rsidRPr="009F48B7">
        <w:rPr>
          <w:rFonts w:ascii="Times New Roman" w:hAnsi="Times New Roman"/>
          <w:sz w:val="24"/>
          <w:szCs w:val="24"/>
        </w:rPr>
        <w:t>avivaldybės) tarybos sprendimu Nr. TS-</w:t>
      </w:r>
      <w:r w:rsidR="00DA1EF8" w:rsidRPr="009F48B7">
        <w:rPr>
          <w:rFonts w:ascii="Times New Roman" w:hAnsi="Times New Roman"/>
          <w:sz w:val="24"/>
          <w:szCs w:val="24"/>
        </w:rPr>
        <w:t>1</w:t>
      </w:r>
      <w:r w:rsidRPr="009F48B7">
        <w:rPr>
          <w:rFonts w:ascii="Times New Roman" w:hAnsi="Times New Roman"/>
          <w:sz w:val="24"/>
          <w:szCs w:val="24"/>
        </w:rPr>
        <w:t xml:space="preserve"> patvirtintas Veiklos planas. Vadovaujantis </w:t>
      </w:r>
      <w:r w:rsidR="00CE5ECD" w:rsidRPr="009F48B7">
        <w:rPr>
          <w:rFonts w:ascii="Times New Roman" w:hAnsi="Times New Roman"/>
          <w:color w:val="000000" w:themeColor="text1"/>
          <w:sz w:val="24"/>
          <w:szCs w:val="24"/>
          <w:lang w:bidi="lo-LA"/>
        </w:rPr>
        <w:t>S</w:t>
      </w:r>
      <w:r w:rsidR="00666887" w:rsidRPr="009F48B7">
        <w:rPr>
          <w:rFonts w:ascii="Times New Roman" w:hAnsi="Times New Roman"/>
          <w:color w:val="000000" w:themeColor="text1"/>
          <w:sz w:val="24"/>
          <w:szCs w:val="24"/>
          <w:lang w:bidi="lo-LA"/>
        </w:rPr>
        <w:t xml:space="preserve">avivaldybės strateginio valdymo organizavimo tvarkos </w:t>
      </w:r>
      <w:r w:rsidRPr="009F48B7">
        <w:rPr>
          <w:rFonts w:ascii="Times New Roman" w:hAnsi="Times New Roman"/>
          <w:sz w:val="24"/>
          <w:szCs w:val="24"/>
          <w:lang w:bidi="lo-LA"/>
        </w:rPr>
        <w:t xml:space="preserve">aprašo </w:t>
      </w:r>
      <w:r w:rsidR="00666887" w:rsidRPr="009F48B7">
        <w:rPr>
          <w:rFonts w:ascii="Times New Roman" w:hAnsi="Times New Roman"/>
          <w:sz w:val="24"/>
          <w:szCs w:val="24"/>
          <w:lang w:bidi="lo-LA"/>
        </w:rPr>
        <w:t>43</w:t>
      </w:r>
      <w:r w:rsidRPr="009F48B7">
        <w:rPr>
          <w:rFonts w:ascii="Times New Roman" w:hAnsi="Times New Roman"/>
          <w:sz w:val="24"/>
          <w:szCs w:val="24"/>
          <w:lang w:bidi="lo-LA"/>
        </w:rPr>
        <w:t xml:space="preserve"> punktu, </w:t>
      </w:r>
      <w:r w:rsidRPr="009F48B7">
        <w:rPr>
          <w:rFonts w:ascii="Times New Roman" w:hAnsi="Times New Roman"/>
          <w:bCs/>
          <w:sz w:val="24"/>
          <w:szCs w:val="24"/>
          <w:lang w:bidi="lo-LA"/>
        </w:rPr>
        <w:t xml:space="preserve">Veiklos planas </w:t>
      </w:r>
      <w:r w:rsidR="00666887" w:rsidRPr="009F48B7">
        <w:rPr>
          <w:rFonts w:ascii="Times New Roman" w:hAnsi="Times New Roman"/>
          <w:sz w:val="24"/>
          <w:szCs w:val="24"/>
          <w:lang w:bidi="lo-LA"/>
        </w:rPr>
        <w:t xml:space="preserve">gali būti tikslinamas (keičiamas) </w:t>
      </w:r>
      <w:r w:rsidR="00666887" w:rsidRPr="009F48B7">
        <w:rPr>
          <w:rFonts w:ascii="Times New Roman" w:hAnsi="Times New Roman"/>
          <w:bCs/>
          <w:sz w:val="24"/>
          <w:szCs w:val="24"/>
        </w:rPr>
        <w:t>ne mažiau kaip vieną kartą, atsižvelgiant į einamųjų metų Savivaldybės biudžeto pakeitimus ar priėmus kitus sprendimus dėl lėšų paskirstymo, atsižvelgiant į Lietuvos Respublikos Vyriausybės nutarimus ar ministrų įsakymus dėl lėšų skyrimo, ES finansavimo galimybes, planuotų priemonių / projektų įgyvendinimo pažangą.</w:t>
      </w:r>
    </w:p>
    <w:p w14:paraId="77C23D96" w14:textId="318621FE" w:rsidR="00B91544" w:rsidRPr="009F48B7" w:rsidRDefault="00B91544" w:rsidP="001575A6">
      <w:pPr>
        <w:tabs>
          <w:tab w:val="left" w:pos="1134"/>
        </w:tabs>
        <w:spacing w:line="264" w:lineRule="auto"/>
        <w:ind w:firstLine="720"/>
        <w:jc w:val="both"/>
        <w:rPr>
          <w:lang w:bidi="lo-LA"/>
        </w:rPr>
      </w:pPr>
      <w:r w:rsidRPr="009F48B7">
        <w:t>Sprendimo projektas parengtas atsižvelgiant į Savivaldybės 202</w:t>
      </w:r>
      <w:r w:rsidR="00DA1EF8" w:rsidRPr="009F48B7">
        <w:t>5</w:t>
      </w:r>
      <w:r w:rsidRPr="009F48B7">
        <w:t xml:space="preserve"> m. biudžeto galimybes, </w:t>
      </w:r>
      <w:r w:rsidRPr="009F48B7">
        <w:rPr>
          <w:lang w:bidi="lo-LA"/>
        </w:rPr>
        <w:t>Veiklos plano programų koordinatorių pateiktą patikslintą informaciją</w:t>
      </w:r>
      <w:r w:rsidR="00666887" w:rsidRPr="009F48B7">
        <w:rPr>
          <w:lang w:bidi="lo-LA"/>
        </w:rPr>
        <w:t>.</w:t>
      </w:r>
      <w:r w:rsidR="00EE771A" w:rsidRPr="009F48B7">
        <w:rPr>
          <w:lang w:bidi="lo-LA"/>
        </w:rPr>
        <w:t xml:space="preserve"> </w:t>
      </w:r>
      <w:r w:rsidR="0068466E" w:rsidRPr="009F48B7">
        <w:rPr>
          <w:lang w:bidi="lo-LA"/>
        </w:rPr>
        <w:t xml:space="preserve">Į </w:t>
      </w:r>
      <w:r w:rsidR="00666887" w:rsidRPr="009F48B7">
        <w:rPr>
          <w:lang w:bidi="lo-LA"/>
        </w:rPr>
        <w:t>V</w:t>
      </w:r>
      <w:r w:rsidR="0068466E" w:rsidRPr="009F48B7">
        <w:rPr>
          <w:lang w:bidi="lo-LA"/>
        </w:rPr>
        <w:t>eiklos plano patikslinimą integruoti rajono tarybos sprendimais patvirtinti 202</w:t>
      </w:r>
      <w:r w:rsidR="0022079F" w:rsidRPr="009F48B7">
        <w:rPr>
          <w:lang w:bidi="lo-LA"/>
        </w:rPr>
        <w:t>5</w:t>
      </w:r>
      <w:r w:rsidR="0068466E" w:rsidRPr="009F48B7">
        <w:rPr>
          <w:lang w:bidi="lo-LA"/>
        </w:rPr>
        <w:t xml:space="preserve"> m. savivaldybės biudžeto pakeitimai (202</w:t>
      </w:r>
      <w:r w:rsidR="0022079F" w:rsidRPr="009F48B7">
        <w:rPr>
          <w:lang w:bidi="lo-LA"/>
        </w:rPr>
        <w:t>5</w:t>
      </w:r>
      <w:r w:rsidR="0068466E" w:rsidRPr="009F48B7">
        <w:rPr>
          <w:lang w:bidi="lo-LA"/>
        </w:rPr>
        <w:t>-</w:t>
      </w:r>
      <w:r w:rsidR="00243A62" w:rsidRPr="009F48B7">
        <w:rPr>
          <w:lang w:bidi="lo-LA"/>
        </w:rPr>
        <w:t>0</w:t>
      </w:r>
      <w:r w:rsidR="00666887" w:rsidRPr="009F48B7">
        <w:rPr>
          <w:lang w:bidi="lo-LA"/>
        </w:rPr>
        <w:t>3-2</w:t>
      </w:r>
      <w:r w:rsidR="0022079F" w:rsidRPr="009F48B7">
        <w:rPr>
          <w:lang w:bidi="lo-LA"/>
        </w:rPr>
        <w:t>8</w:t>
      </w:r>
      <w:r w:rsidR="00243A62" w:rsidRPr="009F48B7">
        <w:rPr>
          <w:lang w:bidi="lo-LA"/>
        </w:rPr>
        <w:t xml:space="preserve"> sprendimas Nr.TS-</w:t>
      </w:r>
      <w:r w:rsidR="0022079F" w:rsidRPr="009F48B7">
        <w:rPr>
          <w:lang w:bidi="lo-LA"/>
        </w:rPr>
        <w:t>42</w:t>
      </w:r>
      <w:r w:rsidR="00243A62" w:rsidRPr="009F48B7">
        <w:rPr>
          <w:lang w:bidi="lo-LA"/>
        </w:rPr>
        <w:t xml:space="preserve">, </w:t>
      </w:r>
      <w:r w:rsidR="00E71EAF" w:rsidRPr="009F48B7">
        <w:rPr>
          <w:lang w:bidi="lo-LA"/>
        </w:rPr>
        <w:t>202</w:t>
      </w:r>
      <w:r w:rsidR="0022079F" w:rsidRPr="009F48B7">
        <w:rPr>
          <w:lang w:bidi="lo-LA"/>
        </w:rPr>
        <w:t>5</w:t>
      </w:r>
      <w:r w:rsidR="00E71EAF" w:rsidRPr="009F48B7">
        <w:rPr>
          <w:lang w:bidi="lo-LA"/>
        </w:rPr>
        <w:t>-0</w:t>
      </w:r>
      <w:r w:rsidR="00666887" w:rsidRPr="009F48B7">
        <w:rPr>
          <w:lang w:bidi="lo-LA"/>
        </w:rPr>
        <w:t>4</w:t>
      </w:r>
      <w:r w:rsidR="00E71EAF" w:rsidRPr="009F48B7">
        <w:rPr>
          <w:lang w:bidi="lo-LA"/>
        </w:rPr>
        <w:t>-</w:t>
      </w:r>
      <w:r w:rsidR="00666887" w:rsidRPr="009F48B7">
        <w:rPr>
          <w:lang w:bidi="lo-LA"/>
        </w:rPr>
        <w:t>2</w:t>
      </w:r>
      <w:r w:rsidR="0022079F" w:rsidRPr="009F48B7">
        <w:rPr>
          <w:lang w:bidi="lo-LA"/>
        </w:rPr>
        <w:t>5</w:t>
      </w:r>
      <w:r w:rsidR="00E71EAF" w:rsidRPr="009F48B7">
        <w:rPr>
          <w:lang w:bidi="lo-LA"/>
        </w:rPr>
        <w:t xml:space="preserve"> sprendimas TS-</w:t>
      </w:r>
      <w:r w:rsidR="0022079F" w:rsidRPr="009F48B7">
        <w:rPr>
          <w:lang w:bidi="lo-LA"/>
        </w:rPr>
        <w:t>136</w:t>
      </w:r>
      <w:r w:rsidR="00E71EAF" w:rsidRPr="009F48B7">
        <w:rPr>
          <w:lang w:bidi="lo-LA"/>
        </w:rPr>
        <w:t xml:space="preserve">, </w:t>
      </w:r>
      <w:r w:rsidR="00243A62" w:rsidRPr="009F48B7">
        <w:rPr>
          <w:lang w:bidi="lo-LA"/>
        </w:rPr>
        <w:t>202</w:t>
      </w:r>
      <w:r w:rsidR="0022079F" w:rsidRPr="009F48B7">
        <w:rPr>
          <w:lang w:bidi="lo-LA"/>
        </w:rPr>
        <w:t>5</w:t>
      </w:r>
      <w:r w:rsidR="00243A62" w:rsidRPr="009F48B7">
        <w:rPr>
          <w:lang w:bidi="lo-LA"/>
        </w:rPr>
        <w:t>-</w:t>
      </w:r>
      <w:r w:rsidR="0022079F" w:rsidRPr="009F48B7">
        <w:rPr>
          <w:lang w:bidi="lo-LA"/>
        </w:rPr>
        <w:t>07-04</w:t>
      </w:r>
      <w:r w:rsidR="00243A62" w:rsidRPr="009F48B7">
        <w:rPr>
          <w:lang w:bidi="lo-LA"/>
        </w:rPr>
        <w:t xml:space="preserve"> Nr. TS-</w:t>
      </w:r>
      <w:r w:rsidR="0022079F" w:rsidRPr="009F48B7">
        <w:rPr>
          <w:lang w:bidi="lo-LA"/>
        </w:rPr>
        <w:t>200</w:t>
      </w:r>
      <w:r w:rsidR="00243A62" w:rsidRPr="009F48B7">
        <w:rPr>
          <w:lang w:bidi="lo-LA"/>
        </w:rPr>
        <w:t>).</w:t>
      </w:r>
    </w:p>
    <w:p w14:paraId="71C19D3F" w14:textId="41460A7D" w:rsidR="00B91544" w:rsidRPr="009F48B7" w:rsidRDefault="00B91544" w:rsidP="001575A6">
      <w:pPr>
        <w:tabs>
          <w:tab w:val="left" w:pos="1134"/>
        </w:tabs>
        <w:spacing w:line="264" w:lineRule="auto"/>
        <w:ind w:firstLine="720"/>
        <w:jc w:val="both"/>
      </w:pPr>
      <w:r w:rsidRPr="009F48B7">
        <w:t xml:space="preserve">Sprendimo projektas parengtas siekiant efektyviai panaudoti turimus bei planuojamus gauti finansinius, materialiuosius ir darbo išteklius užsibrėžtiems </w:t>
      </w:r>
      <w:r w:rsidR="0022079F" w:rsidRPr="009F48B7">
        <w:t>uždaviniams</w:t>
      </w:r>
      <w:r w:rsidRPr="009F48B7">
        <w:t xml:space="preserve"> pasiekti. </w:t>
      </w:r>
    </w:p>
    <w:p w14:paraId="6761A4AB" w14:textId="77777777" w:rsidR="001575A6" w:rsidRPr="009F48B7" w:rsidRDefault="001575A6" w:rsidP="001575A6">
      <w:pPr>
        <w:spacing w:line="264" w:lineRule="auto"/>
        <w:ind w:firstLine="709"/>
        <w:jc w:val="both"/>
        <w:rPr>
          <w:b/>
          <w:kern w:val="2"/>
        </w:rPr>
      </w:pPr>
    </w:p>
    <w:p w14:paraId="2BBA8089" w14:textId="4CAEC252" w:rsidR="00B91544" w:rsidRPr="009F48B7" w:rsidRDefault="00B91544" w:rsidP="001575A6">
      <w:pPr>
        <w:spacing w:line="264" w:lineRule="auto"/>
        <w:ind w:firstLine="709"/>
        <w:jc w:val="both"/>
        <w:rPr>
          <w:b/>
          <w:kern w:val="2"/>
        </w:rPr>
      </w:pPr>
      <w:r w:rsidRPr="009F48B7">
        <w:rPr>
          <w:b/>
          <w:kern w:val="2"/>
        </w:rPr>
        <w:t>Lėšų poreikis (jeigu sprendimui įgyvendinti reikalingos lėšos):</w:t>
      </w:r>
    </w:p>
    <w:p w14:paraId="2CE1CAFB" w14:textId="52244AD6" w:rsidR="00B91544" w:rsidRPr="009F48B7" w:rsidRDefault="00B91544" w:rsidP="001575A6">
      <w:pPr>
        <w:pStyle w:val="Textbeitrauku"/>
        <w:spacing w:line="264" w:lineRule="auto"/>
        <w:ind w:firstLine="720"/>
        <w:rPr>
          <w:szCs w:val="24"/>
        </w:rPr>
      </w:pPr>
      <w:r w:rsidRPr="009F48B7">
        <w:rPr>
          <w:szCs w:val="24"/>
        </w:rPr>
        <w:t xml:space="preserve">Veiklos plano programos įgyvendinamos Savivaldybės biudžeto, Valstybės biudžeto specialiųjų tikslinių dotacijų, Aplinkos apsaugos rėmimo specialiosios programos, Europos Sąjungos ir kitų užsienio fondų, Valstybės biudžeto, skolintomis lėšomis, privačiomis – investuotojų lėšomis, iš pajamų už suteiktas paslaugas gautomis lėšomis. </w:t>
      </w:r>
    </w:p>
    <w:p w14:paraId="33D146C3" w14:textId="69688842" w:rsidR="007313B9" w:rsidRPr="009F48B7" w:rsidRDefault="00B91544" w:rsidP="001575A6">
      <w:pPr>
        <w:pStyle w:val="Textbeitrauku"/>
        <w:spacing w:line="264" w:lineRule="auto"/>
        <w:ind w:firstLine="720"/>
        <w:rPr>
          <w:szCs w:val="24"/>
        </w:rPr>
      </w:pPr>
      <w:r w:rsidRPr="009F48B7">
        <w:rPr>
          <w:szCs w:val="24"/>
        </w:rPr>
        <w:t>Patikslinus Veiklos plano programas, bendras lėšų poreikis įgyvendinti 202</w:t>
      </w:r>
      <w:r w:rsidR="0022079F" w:rsidRPr="009F48B7">
        <w:rPr>
          <w:szCs w:val="24"/>
        </w:rPr>
        <w:t>5</w:t>
      </w:r>
      <w:r w:rsidRPr="009F48B7">
        <w:rPr>
          <w:szCs w:val="24"/>
        </w:rPr>
        <w:t>–202</w:t>
      </w:r>
      <w:r w:rsidR="0022079F" w:rsidRPr="009F48B7">
        <w:rPr>
          <w:szCs w:val="24"/>
        </w:rPr>
        <w:t>7</w:t>
      </w:r>
      <w:r w:rsidR="008C6401" w:rsidRPr="009F48B7">
        <w:rPr>
          <w:szCs w:val="24"/>
        </w:rPr>
        <w:t xml:space="preserve"> </w:t>
      </w:r>
      <w:r w:rsidRPr="009F48B7">
        <w:rPr>
          <w:szCs w:val="24"/>
        </w:rPr>
        <w:t>m. Veiklos plane numatytas priemones 202</w:t>
      </w:r>
      <w:r w:rsidR="0022079F" w:rsidRPr="009F48B7">
        <w:rPr>
          <w:szCs w:val="24"/>
        </w:rPr>
        <w:t>5</w:t>
      </w:r>
      <w:r w:rsidRPr="009F48B7">
        <w:rPr>
          <w:szCs w:val="24"/>
        </w:rPr>
        <w:t xml:space="preserve"> m. yra </w:t>
      </w:r>
      <w:r w:rsidR="0022079F" w:rsidRPr="009F48B7">
        <w:rPr>
          <w:szCs w:val="24"/>
        </w:rPr>
        <w:t>147,3</w:t>
      </w:r>
      <w:r w:rsidR="004664A9" w:rsidRPr="009F48B7">
        <w:rPr>
          <w:szCs w:val="24"/>
        </w:rPr>
        <w:t xml:space="preserve"> mln.</w:t>
      </w:r>
      <w:r w:rsidRPr="009F48B7">
        <w:rPr>
          <w:szCs w:val="24"/>
        </w:rPr>
        <w:t xml:space="preserve"> Eur</w:t>
      </w:r>
      <w:r w:rsidR="007F1DD9" w:rsidRPr="009F48B7">
        <w:rPr>
          <w:szCs w:val="24"/>
        </w:rPr>
        <w:t xml:space="preserve"> (planuota </w:t>
      </w:r>
      <w:r w:rsidR="0022079F" w:rsidRPr="009F48B7">
        <w:rPr>
          <w:szCs w:val="24"/>
        </w:rPr>
        <w:t>152,3</w:t>
      </w:r>
      <w:r w:rsidR="004664A9" w:rsidRPr="009F48B7">
        <w:rPr>
          <w:szCs w:val="24"/>
        </w:rPr>
        <w:t xml:space="preserve"> mln.</w:t>
      </w:r>
      <w:r w:rsidR="007F1DD9" w:rsidRPr="009F48B7">
        <w:rPr>
          <w:szCs w:val="24"/>
        </w:rPr>
        <w:t xml:space="preserve"> Eur)</w:t>
      </w:r>
      <w:r w:rsidRPr="009F48B7">
        <w:rPr>
          <w:szCs w:val="24"/>
        </w:rPr>
        <w:t>, 202</w:t>
      </w:r>
      <w:r w:rsidR="0022079F" w:rsidRPr="009F48B7">
        <w:rPr>
          <w:szCs w:val="24"/>
        </w:rPr>
        <w:t>6</w:t>
      </w:r>
      <w:r w:rsidRPr="009F48B7">
        <w:rPr>
          <w:szCs w:val="24"/>
        </w:rPr>
        <w:t xml:space="preserve"> m. – </w:t>
      </w:r>
      <w:r w:rsidR="004664A9" w:rsidRPr="009F48B7">
        <w:rPr>
          <w:szCs w:val="24"/>
        </w:rPr>
        <w:t>beveik</w:t>
      </w:r>
      <w:r w:rsidRPr="009F48B7">
        <w:rPr>
          <w:szCs w:val="24"/>
        </w:rPr>
        <w:t xml:space="preserve"> </w:t>
      </w:r>
      <w:r w:rsidR="00DF43E4" w:rsidRPr="009F48B7">
        <w:rPr>
          <w:szCs w:val="24"/>
        </w:rPr>
        <w:t>161,3</w:t>
      </w:r>
      <w:r w:rsidRPr="009F48B7">
        <w:rPr>
          <w:szCs w:val="24"/>
        </w:rPr>
        <w:t xml:space="preserve"> mln. Eur</w:t>
      </w:r>
      <w:r w:rsidR="00932C4C" w:rsidRPr="009F48B7">
        <w:rPr>
          <w:szCs w:val="24"/>
        </w:rPr>
        <w:t xml:space="preserve">, </w:t>
      </w:r>
      <w:r w:rsidRPr="009F48B7">
        <w:rPr>
          <w:szCs w:val="24"/>
        </w:rPr>
        <w:t>202</w:t>
      </w:r>
      <w:r w:rsidR="0022079F" w:rsidRPr="009F48B7">
        <w:rPr>
          <w:szCs w:val="24"/>
        </w:rPr>
        <w:t>7</w:t>
      </w:r>
      <w:r w:rsidRPr="009F48B7">
        <w:rPr>
          <w:szCs w:val="24"/>
        </w:rPr>
        <w:t xml:space="preserve"> m. – apie </w:t>
      </w:r>
      <w:r w:rsidR="00DF43E4" w:rsidRPr="009F48B7">
        <w:rPr>
          <w:szCs w:val="24"/>
        </w:rPr>
        <w:t>162,8</w:t>
      </w:r>
      <w:r w:rsidRPr="009F48B7">
        <w:rPr>
          <w:szCs w:val="24"/>
        </w:rPr>
        <w:t xml:space="preserve"> mln. Eur. </w:t>
      </w:r>
    </w:p>
    <w:p w14:paraId="03EA33B7" w14:textId="1DF2850B" w:rsidR="00EF12E0" w:rsidRPr="009F48B7" w:rsidRDefault="006F64D9" w:rsidP="001575A6">
      <w:pPr>
        <w:spacing w:line="264" w:lineRule="auto"/>
        <w:ind w:firstLine="567"/>
        <w:jc w:val="both"/>
      </w:pPr>
      <w:r w:rsidRPr="009F48B7">
        <w:t xml:space="preserve">Vertinant </w:t>
      </w:r>
      <w:r w:rsidR="003E3F5F" w:rsidRPr="009F48B7">
        <w:t>202</w:t>
      </w:r>
      <w:r w:rsidR="0022079F" w:rsidRPr="009F48B7">
        <w:t>5</w:t>
      </w:r>
      <w:r w:rsidR="003E3F5F" w:rsidRPr="009F48B7">
        <w:t xml:space="preserve"> m. </w:t>
      </w:r>
      <w:r w:rsidRPr="009F48B7">
        <w:t xml:space="preserve">patvirtintus ir patikslintus asignavimus </w:t>
      </w:r>
      <w:r w:rsidR="00325FE1" w:rsidRPr="009F48B7">
        <w:t xml:space="preserve">Veiklos plano </w:t>
      </w:r>
      <w:r w:rsidRPr="009F48B7">
        <w:t>priemonėms įgyvendinti, asignavim</w:t>
      </w:r>
      <w:r w:rsidR="00B8577D" w:rsidRPr="009F48B7">
        <w:t xml:space="preserve">ai </w:t>
      </w:r>
      <w:r w:rsidR="003E3F5F" w:rsidRPr="009F48B7">
        <w:t xml:space="preserve">per </w:t>
      </w:r>
      <w:r w:rsidRPr="009F48B7">
        <w:t xml:space="preserve">visus finansavimo šaltinius </w:t>
      </w:r>
      <w:r w:rsidR="00B8577D" w:rsidRPr="009F48B7">
        <w:t>mažėja</w:t>
      </w:r>
      <w:r w:rsidRPr="009F48B7">
        <w:t xml:space="preserve"> </w:t>
      </w:r>
      <w:r w:rsidR="00866597" w:rsidRPr="009F48B7">
        <w:t xml:space="preserve">apie </w:t>
      </w:r>
      <w:r w:rsidR="0022079F" w:rsidRPr="009F48B7">
        <w:t>5</w:t>
      </w:r>
      <w:r w:rsidR="00EF12E0" w:rsidRPr="009F48B7">
        <w:t xml:space="preserve"> </w:t>
      </w:r>
      <w:r w:rsidR="00B8577D" w:rsidRPr="009F48B7">
        <w:t>mln. Eur</w:t>
      </w:r>
      <w:r w:rsidR="00325FE1" w:rsidRPr="009F48B7">
        <w:t xml:space="preserve"> (žr. 1 lentelę)</w:t>
      </w:r>
      <w:r w:rsidR="00EF12E0" w:rsidRPr="009F48B7">
        <w:t>:</w:t>
      </w:r>
    </w:p>
    <w:p w14:paraId="40DE8A45" w14:textId="77777777" w:rsidR="00264F36" w:rsidRPr="009F48B7" w:rsidRDefault="00264F36">
      <w:pPr>
        <w:rPr>
          <w:b/>
          <w:bCs/>
          <w:sz w:val="20"/>
          <w:szCs w:val="20"/>
        </w:rPr>
      </w:pPr>
      <w:r w:rsidRPr="009F48B7">
        <w:rPr>
          <w:b/>
          <w:bCs/>
          <w:sz w:val="20"/>
          <w:szCs w:val="20"/>
        </w:rPr>
        <w:br w:type="page"/>
      </w:r>
    </w:p>
    <w:p w14:paraId="5129EEBE" w14:textId="17B97587" w:rsidR="000B6802" w:rsidRPr="009F48B7" w:rsidRDefault="000B6802" w:rsidP="000B6802">
      <w:pPr>
        <w:spacing w:line="264" w:lineRule="auto"/>
        <w:ind w:firstLine="567"/>
        <w:jc w:val="right"/>
        <w:rPr>
          <w:b/>
          <w:bCs/>
          <w:sz w:val="20"/>
          <w:szCs w:val="20"/>
        </w:rPr>
      </w:pPr>
      <w:r w:rsidRPr="009F48B7">
        <w:rPr>
          <w:b/>
          <w:bCs/>
          <w:sz w:val="20"/>
          <w:szCs w:val="20"/>
        </w:rPr>
        <w:lastRenderedPageBreak/>
        <w:t xml:space="preserve">1 </w:t>
      </w:r>
      <w:r w:rsidR="00C24E85" w:rsidRPr="009F48B7">
        <w:rPr>
          <w:b/>
          <w:bCs/>
          <w:sz w:val="20"/>
          <w:szCs w:val="20"/>
        </w:rPr>
        <w:t>l</w:t>
      </w:r>
      <w:r w:rsidRPr="009F48B7">
        <w:rPr>
          <w:b/>
          <w:bCs/>
          <w:sz w:val="20"/>
          <w:szCs w:val="20"/>
        </w:rPr>
        <w:t>entelė 2024 m. Veiklos plano priemonių finansavimo pokytis pagal finansavimo šaltinius</w:t>
      </w:r>
    </w:p>
    <w:tbl>
      <w:tblPr>
        <w:tblStyle w:val="Lentelstinklelis"/>
        <w:tblW w:w="9493" w:type="dxa"/>
        <w:tblLook w:val="04A0" w:firstRow="1" w:lastRow="0" w:firstColumn="1" w:lastColumn="0" w:noHBand="0" w:noVBand="1"/>
      </w:tblPr>
      <w:tblGrid>
        <w:gridCol w:w="4106"/>
        <w:gridCol w:w="2126"/>
        <w:gridCol w:w="1985"/>
        <w:gridCol w:w="1276"/>
      </w:tblGrid>
      <w:tr w:rsidR="00B93036" w:rsidRPr="009F48B7" w14:paraId="41C89E01" w14:textId="77777777" w:rsidTr="000B6802">
        <w:trPr>
          <w:trHeight w:val="840"/>
        </w:trPr>
        <w:tc>
          <w:tcPr>
            <w:tcW w:w="4106" w:type="dxa"/>
            <w:shd w:val="clear" w:color="auto" w:fill="D9E2F3" w:themeFill="accent1" w:themeFillTint="33"/>
            <w:hideMark/>
          </w:tcPr>
          <w:p w14:paraId="72CA28DC" w14:textId="7A935DEB" w:rsidR="000B6802" w:rsidRPr="009F48B7" w:rsidRDefault="000B6802" w:rsidP="00931A4A">
            <w:pPr>
              <w:jc w:val="center"/>
              <w:rPr>
                <w:color w:val="000000" w:themeColor="text1"/>
                <w:sz w:val="20"/>
                <w:szCs w:val="20"/>
              </w:rPr>
            </w:pPr>
            <w:r w:rsidRPr="009F48B7">
              <w:rPr>
                <w:color w:val="000000" w:themeColor="text1"/>
                <w:sz w:val="20"/>
                <w:szCs w:val="20"/>
              </w:rPr>
              <w:t>Finansavimo šaltinis</w:t>
            </w:r>
          </w:p>
        </w:tc>
        <w:tc>
          <w:tcPr>
            <w:tcW w:w="2126" w:type="dxa"/>
            <w:shd w:val="clear" w:color="auto" w:fill="D9E2F3" w:themeFill="accent1" w:themeFillTint="33"/>
            <w:hideMark/>
          </w:tcPr>
          <w:p w14:paraId="622AAFEB" w14:textId="0A65802C" w:rsidR="000B6802" w:rsidRPr="009F48B7" w:rsidRDefault="000B6802" w:rsidP="00931A4A">
            <w:pPr>
              <w:jc w:val="center"/>
              <w:rPr>
                <w:color w:val="000000" w:themeColor="text1"/>
                <w:sz w:val="20"/>
                <w:szCs w:val="20"/>
              </w:rPr>
            </w:pPr>
            <w:r w:rsidRPr="009F48B7">
              <w:rPr>
                <w:color w:val="000000" w:themeColor="text1"/>
                <w:sz w:val="20"/>
                <w:szCs w:val="20"/>
              </w:rPr>
              <w:t>202</w:t>
            </w:r>
            <w:r w:rsidR="00611405" w:rsidRPr="009F48B7">
              <w:rPr>
                <w:color w:val="000000" w:themeColor="text1"/>
                <w:sz w:val="20"/>
                <w:szCs w:val="20"/>
              </w:rPr>
              <w:t>5</w:t>
            </w:r>
            <w:r w:rsidRPr="009F48B7">
              <w:rPr>
                <w:color w:val="000000" w:themeColor="text1"/>
                <w:sz w:val="20"/>
                <w:szCs w:val="20"/>
              </w:rPr>
              <w:t xml:space="preserve"> m. asignavimai ir kitos lėšos</w:t>
            </w:r>
          </w:p>
          <w:p w14:paraId="508E7D20" w14:textId="3A2C9787" w:rsidR="000B6802" w:rsidRPr="009F48B7" w:rsidRDefault="000B6802" w:rsidP="00931A4A">
            <w:pPr>
              <w:jc w:val="center"/>
              <w:rPr>
                <w:color w:val="000000" w:themeColor="text1"/>
                <w:sz w:val="20"/>
                <w:szCs w:val="20"/>
              </w:rPr>
            </w:pPr>
            <w:r w:rsidRPr="009F48B7">
              <w:rPr>
                <w:color w:val="000000" w:themeColor="text1"/>
                <w:sz w:val="20"/>
                <w:szCs w:val="20"/>
              </w:rPr>
              <w:t>(tūkst. Eur)</w:t>
            </w:r>
          </w:p>
        </w:tc>
        <w:tc>
          <w:tcPr>
            <w:tcW w:w="1985" w:type="dxa"/>
            <w:shd w:val="clear" w:color="auto" w:fill="D9E2F3" w:themeFill="accent1" w:themeFillTint="33"/>
            <w:hideMark/>
          </w:tcPr>
          <w:p w14:paraId="27EFD1FF" w14:textId="63DB9A7B" w:rsidR="000B6802" w:rsidRPr="009F48B7" w:rsidRDefault="000B6802" w:rsidP="00931A4A">
            <w:pPr>
              <w:jc w:val="center"/>
              <w:rPr>
                <w:color w:val="000000" w:themeColor="text1"/>
                <w:sz w:val="20"/>
                <w:szCs w:val="20"/>
              </w:rPr>
            </w:pPr>
            <w:r w:rsidRPr="009F48B7">
              <w:rPr>
                <w:color w:val="000000" w:themeColor="text1"/>
                <w:sz w:val="20"/>
                <w:szCs w:val="20"/>
              </w:rPr>
              <w:t>PATIKSLINTI                      202</w:t>
            </w:r>
            <w:r w:rsidR="00611405" w:rsidRPr="009F48B7">
              <w:rPr>
                <w:color w:val="000000" w:themeColor="text1"/>
                <w:sz w:val="20"/>
                <w:szCs w:val="20"/>
              </w:rPr>
              <w:t>5</w:t>
            </w:r>
            <w:r w:rsidRPr="009F48B7">
              <w:rPr>
                <w:color w:val="000000" w:themeColor="text1"/>
                <w:sz w:val="20"/>
                <w:szCs w:val="20"/>
              </w:rPr>
              <w:t xml:space="preserve"> m. asignavimai ir kitos lėšos</w:t>
            </w:r>
          </w:p>
          <w:p w14:paraId="0563228C" w14:textId="3657F04A" w:rsidR="000B6802" w:rsidRPr="009F48B7" w:rsidRDefault="000B6802" w:rsidP="00931A4A">
            <w:pPr>
              <w:jc w:val="center"/>
              <w:rPr>
                <w:color w:val="000000" w:themeColor="text1"/>
                <w:sz w:val="20"/>
                <w:szCs w:val="20"/>
              </w:rPr>
            </w:pPr>
            <w:r w:rsidRPr="009F48B7">
              <w:rPr>
                <w:color w:val="000000" w:themeColor="text1"/>
                <w:sz w:val="20"/>
                <w:szCs w:val="20"/>
              </w:rPr>
              <w:t>(tūkst. Eur)</w:t>
            </w:r>
          </w:p>
        </w:tc>
        <w:tc>
          <w:tcPr>
            <w:tcW w:w="1276" w:type="dxa"/>
            <w:shd w:val="clear" w:color="auto" w:fill="D9E2F3" w:themeFill="accent1" w:themeFillTint="33"/>
            <w:hideMark/>
          </w:tcPr>
          <w:p w14:paraId="26AAD6E8" w14:textId="77777777" w:rsidR="000B6802" w:rsidRPr="009F48B7" w:rsidRDefault="000B6802" w:rsidP="00931A4A">
            <w:pPr>
              <w:jc w:val="center"/>
              <w:rPr>
                <w:color w:val="000000" w:themeColor="text1"/>
                <w:sz w:val="20"/>
                <w:szCs w:val="20"/>
              </w:rPr>
            </w:pPr>
            <w:r w:rsidRPr="009F48B7">
              <w:rPr>
                <w:color w:val="000000" w:themeColor="text1"/>
                <w:sz w:val="20"/>
                <w:szCs w:val="20"/>
              </w:rPr>
              <w:t xml:space="preserve">Pokytis </w:t>
            </w:r>
          </w:p>
          <w:p w14:paraId="47311A3E" w14:textId="1A7BD647" w:rsidR="000B6802" w:rsidRPr="009F48B7" w:rsidRDefault="000B6802" w:rsidP="00931A4A">
            <w:pPr>
              <w:jc w:val="center"/>
              <w:rPr>
                <w:color w:val="000000" w:themeColor="text1"/>
                <w:sz w:val="20"/>
                <w:szCs w:val="20"/>
              </w:rPr>
            </w:pPr>
            <w:r w:rsidRPr="009F48B7">
              <w:rPr>
                <w:color w:val="000000" w:themeColor="text1"/>
                <w:sz w:val="20"/>
                <w:szCs w:val="20"/>
              </w:rPr>
              <w:t>(tūkst. Eur)</w:t>
            </w:r>
          </w:p>
        </w:tc>
      </w:tr>
      <w:tr w:rsidR="00B93036" w:rsidRPr="009F48B7" w14:paraId="770A5CCF" w14:textId="77777777" w:rsidTr="000B6802">
        <w:trPr>
          <w:trHeight w:val="643"/>
        </w:trPr>
        <w:tc>
          <w:tcPr>
            <w:tcW w:w="4106" w:type="dxa"/>
            <w:shd w:val="clear" w:color="auto" w:fill="FFF2CC" w:themeFill="accent4" w:themeFillTint="33"/>
          </w:tcPr>
          <w:p w14:paraId="7F9AAE27" w14:textId="250D8CA4" w:rsidR="00B93036" w:rsidRPr="009F48B7" w:rsidRDefault="00B93036" w:rsidP="00B93036">
            <w:pPr>
              <w:rPr>
                <w:color w:val="000000" w:themeColor="text1"/>
                <w:sz w:val="20"/>
                <w:szCs w:val="20"/>
              </w:rPr>
            </w:pPr>
            <w:r w:rsidRPr="009F48B7">
              <w:rPr>
                <w:color w:val="000000" w:themeColor="text1"/>
                <w:sz w:val="20"/>
                <w:szCs w:val="20"/>
              </w:rPr>
              <w:t>1. Savivaldybės biudžetas (įskaitant skolintas lėšas)</w:t>
            </w:r>
          </w:p>
        </w:tc>
        <w:tc>
          <w:tcPr>
            <w:tcW w:w="2126" w:type="dxa"/>
            <w:shd w:val="clear" w:color="auto" w:fill="FFF2CC" w:themeFill="accent4" w:themeFillTint="33"/>
          </w:tcPr>
          <w:p w14:paraId="6C18170F" w14:textId="2C216E1A" w:rsidR="00B93036" w:rsidRPr="009F48B7" w:rsidRDefault="00B93036" w:rsidP="00B93036">
            <w:pPr>
              <w:jc w:val="center"/>
              <w:rPr>
                <w:color w:val="000000" w:themeColor="text1"/>
                <w:sz w:val="22"/>
                <w:szCs w:val="22"/>
              </w:rPr>
            </w:pPr>
            <w:r w:rsidRPr="009F48B7">
              <w:rPr>
                <w:color w:val="000000" w:themeColor="text1"/>
                <w:sz w:val="22"/>
                <w:szCs w:val="22"/>
              </w:rPr>
              <w:t>151 184,4</w:t>
            </w:r>
          </w:p>
        </w:tc>
        <w:tc>
          <w:tcPr>
            <w:tcW w:w="1985" w:type="dxa"/>
            <w:shd w:val="clear" w:color="auto" w:fill="FFF2CC" w:themeFill="accent4" w:themeFillTint="33"/>
          </w:tcPr>
          <w:p w14:paraId="73399541" w14:textId="19899D9C" w:rsidR="00B93036" w:rsidRPr="009F48B7" w:rsidRDefault="00B93036" w:rsidP="00B93036">
            <w:pPr>
              <w:jc w:val="center"/>
              <w:rPr>
                <w:color w:val="000000" w:themeColor="text1"/>
                <w:sz w:val="22"/>
                <w:szCs w:val="22"/>
              </w:rPr>
            </w:pPr>
            <w:r w:rsidRPr="009F48B7">
              <w:rPr>
                <w:color w:val="000000" w:themeColor="text1"/>
                <w:sz w:val="22"/>
                <w:szCs w:val="22"/>
              </w:rPr>
              <w:t>146 471,3</w:t>
            </w:r>
          </w:p>
        </w:tc>
        <w:tc>
          <w:tcPr>
            <w:tcW w:w="1276" w:type="dxa"/>
            <w:shd w:val="clear" w:color="auto" w:fill="FFF2CC" w:themeFill="accent4" w:themeFillTint="33"/>
          </w:tcPr>
          <w:p w14:paraId="031FD3BB" w14:textId="0E7DBD02" w:rsidR="00B93036" w:rsidRPr="009F48B7" w:rsidRDefault="00B93036" w:rsidP="00B93036">
            <w:pPr>
              <w:jc w:val="center"/>
              <w:rPr>
                <w:color w:val="000000" w:themeColor="text1"/>
                <w:sz w:val="22"/>
                <w:szCs w:val="22"/>
              </w:rPr>
            </w:pPr>
            <w:r w:rsidRPr="009F48B7">
              <w:rPr>
                <w:color w:val="000000" w:themeColor="text1"/>
                <w:sz w:val="22"/>
                <w:szCs w:val="22"/>
              </w:rPr>
              <w:t>-4 713,1</w:t>
            </w:r>
          </w:p>
        </w:tc>
      </w:tr>
      <w:tr w:rsidR="00B93036" w:rsidRPr="009F48B7" w14:paraId="7C0B7C07" w14:textId="77777777" w:rsidTr="00611405">
        <w:trPr>
          <w:trHeight w:val="560"/>
        </w:trPr>
        <w:tc>
          <w:tcPr>
            <w:tcW w:w="4106" w:type="dxa"/>
            <w:hideMark/>
          </w:tcPr>
          <w:p w14:paraId="71424C4E" w14:textId="77777777" w:rsidR="00B93036" w:rsidRPr="009F48B7" w:rsidRDefault="00B93036" w:rsidP="00B93036">
            <w:pPr>
              <w:jc w:val="both"/>
              <w:rPr>
                <w:i/>
                <w:iCs/>
                <w:color w:val="000000" w:themeColor="text1"/>
                <w:sz w:val="20"/>
                <w:szCs w:val="20"/>
              </w:rPr>
            </w:pPr>
            <w:r w:rsidRPr="009F48B7">
              <w:rPr>
                <w:i/>
                <w:iCs/>
                <w:color w:val="000000" w:themeColor="text1"/>
                <w:sz w:val="20"/>
                <w:szCs w:val="20"/>
              </w:rPr>
              <w:t>1.1. savivaldybės biudžeto lėšos (nuosavos, be ankstesnių metų likučio)  SB</w:t>
            </w:r>
          </w:p>
        </w:tc>
        <w:tc>
          <w:tcPr>
            <w:tcW w:w="2126" w:type="dxa"/>
          </w:tcPr>
          <w:p w14:paraId="177645DF" w14:textId="5119634B" w:rsidR="00B93036" w:rsidRPr="009F48B7" w:rsidRDefault="00B93036" w:rsidP="00B93036">
            <w:pPr>
              <w:jc w:val="center"/>
              <w:rPr>
                <w:i/>
                <w:iCs/>
                <w:color w:val="000000" w:themeColor="text1"/>
                <w:sz w:val="22"/>
                <w:szCs w:val="22"/>
              </w:rPr>
            </w:pPr>
            <w:r w:rsidRPr="009F48B7">
              <w:rPr>
                <w:color w:val="000000" w:themeColor="text1"/>
                <w:sz w:val="22"/>
                <w:szCs w:val="22"/>
              </w:rPr>
              <w:t>62 011,9</w:t>
            </w:r>
          </w:p>
        </w:tc>
        <w:tc>
          <w:tcPr>
            <w:tcW w:w="1985" w:type="dxa"/>
          </w:tcPr>
          <w:p w14:paraId="2F634777" w14:textId="56032397" w:rsidR="00B93036" w:rsidRPr="009F48B7" w:rsidRDefault="00B93036" w:rsidP="00B93036">
            <w:pPr>
              <w:jc w:val="center"/>
              <w:rPr>
                <w:i/>
                <w:iCs/>
                <w:color w:val="000000" w:themeColor="text1"/>
                <w:sz w:val="22"/>
                <w:szCs w:val="22"/>
              </w:rPr>
            </w:pPr>
            <w:r w:rsidRPr="009F48B7">
              <w:rPr>
                <w:color w:val="000000" w:themeColor="text1"/>
                <w:sz w:val="22"/>
                <w:szCs w:val="22"/>
              </w:rPr>
              <w:t>62 181,9</w:t>
            </w:r>
          </w:p>
        </w:tc>
        <w:tc>
          <w:tcPr>
            <w:tcW w:w="1276" w:type="dxa"/>
          </w:tcPr>
          <w:p w14:paraId="0EB976B3" w14:textId="0E7685D5" w:rsidR="00B93036" w:rsidRPr="009F48B7" w:rsidRDefault="00B93036" w:rsidP="00B93036">
            <w:pPr>
              <w:jc w:val="center"/>
              <w:rPr>
                <w:color w:val="000000" w:themeColor="text1"/>
                <w:sz w:val="22"/>
                <w:szCs w:val="22"/>
              </w:rPr>
            </w:pPr>
            <w:r w:rsidRPr="009F48B7">
              <w:rPr>
                <w:color w:val="000000" w:themeColor="text1"/>
                <w:sz w:val="22"/>
                <w:szCs w:val="22"/>
              </w:rPr>
              <w:t>+170,0</w:t>
            </w:r>
          </w:p>
        </w:tc>
      </w:tr>
      <w:tr w:rsidR="00B93036" w:rsidRPr="009F48B7" w14:paraId="6FD2CD0D" w14:textId="77777777" w:rsidTr="00611405">
        <w:trPr>
          <w:trHeight w:val="554"/>
        </w:trPr>
        <w:tc>
          <w:tcPr>
            <w:tcW w:w="4106" w:type="dxa"/>
            <w:hideMark/>
          </w:tcPr>
          <w:p w14:paraId="5FA211ED" w14:textId="77777777" w:rsidR="00B93036" w:rsidRPr="009F48B7" w:rsidRDefault="00B93036" w:rsidP="00B93036">
            <w:pPr>
              <w:jc w:val="both"/>
              <w:rPr>
                <w:i/>
                <w:iCs/>
                <w:color w:val="000000" w:themeColor="text1"/>
                <w:sz w:val="20"/>
                <w:szCs w:val="20"/>
              </w:rPr>
            </w:pPr>
            <w:r w:rsidRPr="009F48B7">
              <w:rPr>
                <w:i/>
                <w:iCs/>
                <w:color w:val="000000" w:themeColor="text1"/>
                <w:sz w:val="20"/>
                <w:szCs w:val="20"/>
              </w:rPr>
              <w:t>1.2. Lietuvos Respublikos valstybės biudžeto dotacijos   SBVB</w:t>
            </w:r>
          </w:p>
        </w:tc>
        <w:tc>
          <w:tcPr>
            <w:tcW w:w="2126" w:type="dxa"/>
          </w:tcPr>
          <w:p w14:paraId="679694D3" w14:textId="51792E8C" w:rsidR="00B93036" w:rsidRPr="009F48B7" w:rsidRDefault="00B93036" w:rsidP="00B93036">
            <w:pPr>
              <w:jc w:val="center"/>
              <w:rPr>
                <w:i/>
                <w:iCs/>
                <w:color w:val="000000" w:themeColor="text1"/>
                <w:sz w:val="22"/>
                <w:szCs w:val="22"/>
              </w:rPr>
            </w:pPr>
            <w:r w:rsidRPr="009F48B7">
              <w:rPr>
                <w:color w:val="000000" w:themeColor="text1"/>
                <w:sz w:val="22"/>
                <w:szCs w:val="22"/>
              </w:rPr>
              <w:t>68 411,2</w:t>
            </w:r>
          </w:p>
        </w:tc>
        <w:tc>
          <w:tcPr>
            <w:tcW w:w="1985" w:type="dxa"/>
          </w:tcPr>
          <w:p w14:paraId="16D859CB" w14:textId="30FB90C5" w:rsidR="00B93036" w:rsidRPr="009F48B7" w:rsidRDefault="00B93036" w:rsidP="00B93036">
            <w:pPr>
              <w:jc w:val="center"/>
              <w:rPr>
                <w:i/>
                <w:iCs/>
                <w:color w:val="000000" w:themeColor="text1"/>
                <w:sz w:val="22"/>
                <w:szCs w:val="22"/>
              </w:rPr>
            </w:pPr>
            <w:r w:rsidRPr="009F48B7">
              <w:rPr>
                <w:color w:val="000000" w:themeColor="text1"/>
                <w:sz w:val="22"/>
                <w:szCs w:val="22"/>
              </w:rPr>
              <w:t>64 047,2</w:t>
            </w:r>
          </w:p>
        </w:tc>
        <w:tc>
          <w:tcPr>
            <w:tcW w:w="1276" w:type="dxa"/>
          </w:tcPr>
          <w:p w14:paraId="04F96CE2" w14:textId="00466CE4" w:rsidR="00B93036" w:rsidRPr="009F48B7" w:rsidRDefault="00B93036" w:rsidP="00B93036">
            <w:pPr>
              <w:jc w:val="center"/>
              <w:rPr>
                <w:color w:val="000000" w:themeColor="text1"/>
                <w:sz w:val="22"/>
                <w:szCs w:val="22"/>
              </w:rPr>
            </w:pPr>
            <w:r w:rsidRPr="009F48B7">
              <w:rPr>
                <w:color w:val="000000" w:themeColor="text1"/>
                <w:sz w:val="22"/>
                <w:szCs w:val="22"/>
              </w:rPr>
              <w:t>-4 364,0</w:t>
            </w:r>
          </w:p>
        </w:tc>
      </w:tr>
      <w:tr w:rsidR="00B93036" w:rsidRPr="009F48B7" w14:paraId="099572F5" w14:textId="77777777" w:rsidTr="00611405">
        <w:trPr>
          <w:trHeight w:val="419"/>
        </w:trPr>
        <w:tc>
          <w:tcPr>
            <w:tcW w:w="4106" w:type="dxa"/>
            <w:hideMark/>
          </w:tcPr>
          <w:p w14:paraId="05115959" w14:textId="77777777" w:rsidR="00B93036" w:rsidRPr="009F48B7" w:rsidRDefault="00B93036" w:rsidP="00B93036">
            <w:pPr>
              <w:jc w:val="both"/>
              <w:rPr>
                <w:i/>
                <w:iCs/>
                <w:color w:val="000000" w:themeColor="text1"/>
                <w:sz w:val="20"/>
                <w:szCs w:val="20"/>
              </w:rPr>
            </w:pPr>
            <w:r w:rsidRPr="009F48B7">
              <w:rPr>
                <w:i/>
                <w:iCs/>
                <w:color w:val="000000" w:themeColor="text1"/>
                <w:sz w:val="20"/>
                <w:szCs w:val="20"/>
              </w:rPr>
              <w:t>1.3. Pajamų įmokos ir kitos pajamos  ĮP</w:t>
            </w:r>
          </w:p>
        </w:tc>
        <w:tc>
          <w:tcPr>
            <w:tcW w:w="2126" w:type="dxa"/>
          </w:tcPr>
          <w:p w14:paraId="059D54EC" w14:textId="3DED9C39" w:rsidR="00B93036" w:rsidRPr="009F48B7" w:rsidRDefault="00B93036" w:rsidP="00B93036">
            <w:pPr>
              <w:jc w:val="center"/>
              <w:rPr>
                <w:i/>
                <w:iCs/>
                <w:color w:val="000000" w:themeColor="text1"/>
                <w:sz w:val="22"/>
                <w:szCs w:val="22"/>
              </w:rPr>
            </w:pPr>
            <w:r w:rsidRPr="009F48B7">
              <w:rPr>
                <w:color w:val="000000" w:themeColor="text1"/>
                <w:sz w:val="22"/>
                <w:szCs w:val="22"/>
              </w:rPr>
              <w:t>3 612,6</w:t>
            </w:r>
          </w:p>
        </w:tc>
        <w:tc>
          <w:tcPr>
            <w:tcW w:w="1985" w:type="dxa"/>
          </w:tcPr>
          <w:p w14:paraId="7FCF8DF0" w14:textId="5F8F1B8F" w:rsidR="00B93036" w:rsidRPr="009F48B7" w:rsidRDefault="00B93036" w:rsidP="00B93036">
            <w:pPr>
              <w:jc w:val="center"/>
              <w:rPr>
                <w:i/>
                <w:iCs/>
                <w:color w:val="000000" w:themeColor="text1"/>
                <w:sz w:val="22"/>
                <w:szCs w:val="22"/>
              </w:rPr>
            </w:pPr>
            <w:r w:rsidRPr="009F48B7">
              <w:rPr>
                <w:color w:val="000000" w:themeColor="text1"/>
                <w:sz w:val="22"/>
                <w:szCs w:val="22"/>
              </w:rPr>
              <w:t>3 635,9</w:t>
            </w:r>
          </w:p>
        </w:tc>
        <w:tc>
          <w:tcPr>
            <w:tcW w:w="1276" w:type="dxa"/>
          </w:tcPr>
          <w:p w14:paraId="588536D5" w14:textId="37ACE46F" w:rsidR="00B93036" w:rsidRPr="009F48B7" w:rsidRDefault="00B93036" w:rsidP="00B93036">
            <w:pPr>
              <w:jc w:val="center"/>
              <w:rPr>
                <w:color w:val="000000" w:themeColor="text1"/>
                <w:sz w:val="22"/>
                <w:szCs w:val="22"/>
              </w:rPr>
            </w:pPr>
            <w:r w:rsidRPr="009F48B7">
              <w:rPr>
                <w:color w:val="000000" w:themeColor="text1"/>
                <w:sz w:val="22"/>
                <w:szCs w:val="22"/>
              </w:rPr>
              <w:t>23,3</w:t>
            </w:r>
          </w:p>
        </w:tc>
      </w:tr>
      <w:tr w:rsidR="00B93036" w:rsidRPr="009F48B7" w14:paraId="7D78D233" w14:textId="77777777" w:rsidTr="00611405">
        <w:trPr>
          <w:trHeight w:val="540"/>
        </w:trPr>
        <w:tc>
          <w:tcPr>
            <w:tcW w:w="4106" w:type="dxa"/>
            <w:hideMark/>
          </w:tcPr>
          <w:p w14:paraId="4567D1DB" w14:textId="77777777" w:rsidR="00B93036" w:rsidRPr="009F48B7" w:rsidRDefault="00B93036" w:rsidP="00B93036">
            <w:pPr>
              <w:jc w:val="both"/>
              <w:rPr>
                <w:i/>
                <w:iCs/>
                <w:color w:val="000000" w:themeColor="text1"/>
                <w:sz w:val="20"/>
                <w:szCs w:val="20"/>
              </w:rPr>
            </w:pPr>
            <w:r w:rsidRPr="009F48B7">
              <w:rPr>
                <w:i/>
                <w:iCs/>
                <w:color w:val="000000" w:themeColor="text1"/>
                <w:sz w:val="20"/>
                <w:szCs w:val="20"/>
              </w:rPr>
              <w:t>1.4. Europos Sąjungos ir kitos tarptautinės finansinės paramos lėšos ES</w:t>
            </w:r>
          </w:p>
        </w:tc>
        <w:tc>
          <w:tcPr>
            <w:tcW w:w="2126" w:type="dxa"/>
          </w:tcPr>
          <w:p w14:paraId="3AEAA8E2" w14:textId="10212986" w:rsidR="00B93036" w:rsidRPr="009F48B7" w:rsidRDefault="00B93036" w:rsidP="00B93036">
            <w:pPr>
              <w:jc w:val="center"/>
              <w:rPr>
                <w:i/>
                <w:iCs/>
                <w:color w:val="000000" w:themeColor="text1"/>
                <w:sz w:val="22"/>
                <w:szCs w:val="22"/>
              </w:rPr>
            </w:pPr>
            <w:r w:rsidRPr="009F48B7">
              <w:rPr>
                <w:color w:val="000000" w:themeColor="text1"/>
                <w:sz w:val="22"/>
                <w:szCs w:val="22"/>
              </w:rPr>
              <w:t>6 623,8</w:t>
            </w:r>
          </w:p>
        </w:tc>
        <w:tc>
          <w:tcPr>
            <w:tcW w:w="1985" w:type="dxa"/>
          </w:tcPr>
          <w:p w14:paraId="575DB646" w14:textId="6342B4B9" w:rsidR="00B93036" w:rsidRPr="009F48B7" w:rsidRDefault="00B93036" w:rsidP="00B93036">
            <w:pPr>
              <w:jc w:val="center"/>
              <w:rPr>
                <w:i/>
                <w:iCs/>
                <w:color w:val="000000" w:themeColor="text1"/>
                <w:sz w:val="22"/>
                <w:szCs w:val="22"/>
              </w:rPr>
            </w:pPr>
            <w:r w:rsidRPr="009F48B7">
              <w:rPr>
                <w:color w:val="000000" w:themeColor="text1"/>
                <w:sz w:val="22"/>
                <w:szCs w:val="22"/>
              </w:rPr>
              <w:t>6 081,4</w:t>
            </w:r>
          </w:p>
        </w:tc>
        <w:tc>
          <w:tcPr>
            <w:tcW w:w="1276" w:type="dxa"/>
          </w:tcPr>
          <w:p w14:paraId="412682E8" w14:textId="4C4CCC8B" w:rsidR="00B93036" w:rsidRPr="009F48B7" w:rsidRDefault="00B93036" w:rsidP="00B93036">
            <w:pPr>
              <w:jc w:val="center"/>
              <w:rPr>
                <w:color w:val="000000" w:themeColor="text1"/>
                <w:sz w:val="22"/>
                <w:szCs w:val="22"/>
              </w:rPr>
            </w:pPr>
            <w:r w:rsidRPr="009F48B7">
              <w:rPr>
                <w:color w:val="000000" w:themeColor="text1"/>
                <w:sz w:val="22"/>
                <w:szCs w:val="22"/>
              </w:rPr>
              <w:t>-542,4</w:t>
            </w:r>
          </w:p>
        </w:tc>
      </w:tr>
      <w:tr w:rsidR="00B93036" w:rsidRPr="009F48B7" w14:paraId="34C2784C" w14:textId="77777777" w:rsidTr="00611405">
        <w:trPr>
          <w:trHeight w:val="277"/>
        </w:trPr>
        <w:tc>
          <w:tcPr>
            <w:tcW w:w="4106" w:type="dxa"/>
            <w:hideMark/>
          </w:tcPr>
          <w:p w14:paraId="1F24D927" w14:textId="77777777" w:rsidR="00B93036" w:rsidRPr="009F48B7" w:rsidRDefault="00B93036" w:rsidP="00B93036">
            <w:pPr>
              <w:jc w:val="both"/>
              <w:rPr>
                <w:i/>
                <w:iCs/>
                <w:color w:val="000000" w:themeColor="text1"/>
                <w:sz w:val="20"/>
                <w:szCs w:val="20"/>
              </w:rPr>
            </w:pPr>
            <w:r w:rsidRPr="009F48B7">
              <w:rPr>
                <w:i/>
                <w:iCs/>
                <w:color w:val="000000" w:themeColor="text1"/>
                <w:sz w:val="20"/>
                <w:szCs w:val="20"/>
              </w:rPr>
              <w:t>1.5. Skolintos lėšos SK</w:t>
            </w:r>
          </w:p>
        </w:tc>
        <w:tc>
          <w:tcPr>
            <w:tcW w:w="2126" w:type="dxa"/>
          </w:tcPr>
          <w:p w14:paraId="63AB72ED" w14:textId="111BFC25" w:rsidR="00B93036" w:rsidRPr="009F48B7" w:rsidRDefault="00B93036" w:rsidP="00B93036">
            <w:pPr>
              <w:jc w:val="center"/>
              <w:rPr>
                <w:i/>
                <w:iCs/>
                <w:color w:val="000000" w:themeColor="text1"/>
                <w:sz w:val="22"/>
                <w:szCs w:val="22"/>
              </w:rPr>
            </w:pPr>
            <w:r w:rsidRPr="009F48B7">
              <w:rPr>
                <w:color w:val="000000" w:themeColor="text1"/>
                <w:sz w:val="22"/>
                <w:szCs w:val="22"/>
              </w:rPr>
              <w:t>3 065,8</w:t>
            </w:r>
          </w:p>
        </w:tc>
        <w:tc>
          <w:tcPr>
            <w:tcW w:w="1985" w:type="dxa"/>
          </w:tcPr>
          <w:p w14:paraId="4364CC0F" w14:textId="79A4D03C" w:rsidR="00B93036" w:rsidRPr="009F48B7" w:rsidRDefault="00B93036" w:rsidP="00B93036">
            <w:pPr>
              <w:jc w:val="center"/>
              <w:rPr>
                <w:i/>
                <w:iCs/>
                <w:color w:val="000000" w:themeColor="text1"/>
                <w:sz w:val="22"/>
                <w:szCs w:val="22"/>
              </w:rPr>
            </w:pPr>
            <w:r w:rsidRPr="009F48B7">
              <w:rPr>
                <w:color w:val="000000" w:themeColor="text1"/>
                <w:sz w:val="22"/>
                <w:szCs w:val="22"/>
              </w:rPr>
              <w:t>3 065,8</w:t>
            </w:r>
          </w:p>
        </w:tc>
        <w:tc>
          <w:tcPr>
            <w:tcW w:w="1276" w:type="dxa"/>
          </w:tcPr>
          <w:p w14:paraId="0CF52CC0" w14:textId="43296CE6" w:rsidR="00B93036" w:rsidRPr="009F48B7" w:rsidRDefault="00B93036" w:rsidP="00B93036">
            <w:pPr>
              <w:jc w:val="center"/>
              <w:rPr>
                <w:color w:val="000000" w:themeColor="text1"/>
                <w:sz w:val="22"/>
                <w:szCs w:val="22"/>
              </w:rPr>
            </w:pPr>
            <w:r w:rsidRPr="009F48B7">
              <w:rPr>
                <w:color w:val="000000" w:themeColor="text1"/>
                <w:sz w:val="22"/>
                <w:szCs w:val="22"/>
              </w:rPr>
              <w:t>0,0</w:t>
            </w:r>
          </w:p>
        </w:tc>
      </w:tr>
      <w:tr w:rsidR="00B93036" w:rsidRPr="009F48B7" w14:paraId="0345CADE" w14:textId="77777777" w:rsidTr="00611405">
        <w:trPr>
          <w:trHeight w:val="282"/>
        </w:trPr>
        <w:tc>
          <w:tcPr>
            <w:tcW w:w="4106" w:type="dxa"/>
            <w:hideMark/>
          </w:tcPr>
          <w:p w14:paraId="238DDE71" w14:textId="77777777" w:rsidR="00B93036" w:rsidRPr="009F48B7" w:rsidRDefault="00B93036" w:rsidP="00B93036">
            <w:pPr>
              <w:jc w:val="both"/>
              <w:rPr>
                <w:i/>
                <w:iCs/>
                <w:color w:val="000000" w:themeColor="text1"/>
                <w:sz w:val="20"/>
                <w:szCs w:val="20"/>
              </w:rPr>
            </w:pPr>
            <w:r w:rsidRPr="009F48B7">
              <w:rPr>
                <w:i/>
                <w:iCs/>
                <w:color w:val="000000" w:themeColor="text1"/>
                <w:sz w:val="20"/>
                <w:szCs w:val="20"/>
              </w:rPr>
              <w:t>1.6. Ankstesnių metų likučiai  SBL</w:t>
            </w:r>
          </w:p>
        </w:tc>
        <w:tc>
          <w:tcPr>
            <w:tcW w:w="2126" w:type="dxa"/>
          </w:tcPr>
          <w:p w14:paraId="149B5EEF" w14:textId="42D581DC" w:rsidR="00B93036" w:rsidRPr="009F48B7" w:rsidRDefault="00B93036" w:rsidP="00B93036">
            <w:pPr>
              <w:jc w:val="center"/>
              <w:rPr>
                <w:i/>
                <w:iCs/>
                <w:color w:val="000000" w:themeColor="text1"/>
                <w:sz w:val="22"/>
                <w:szCs w:val="22"/>
              </w:rPr>
            </w:pPr>
            <w:r w:rsidRPr="009F48B7">
              <w:rPr>
                <w:color w:val="000000" w:themeColor="text1"/>
                <w:sz w:val="22"/>
                <w:szCs w:val="22"/>
              </w:rPr>
              <w:t>7 459,1</w:t>
            </w:r>
          </w:p>
        </w:tc>
        <w:tc>
          <w:tcPr>
            <w:tcW w:w="1985" w:type="dxa"/>
          </w:tcPr>
          <w:p w14:paraId="2795AE0C" w14:textId="13E3BCB3" w:rsidR="00B93036" w:rsidRPr="009F48B7" w:rsidRDefault="00B93036" w:rsidP="00B93036">
            <w:pPr>
              <w:jc w:val="center"/>
              <w:rPr>
                <w:i/>
                <w:iCs/>
                <w:color w:val="000000" w:themeColor="text1"/>
                <w:sz w:val="22"/>
                <w:szCs w:val="22"/>
              </w:rPr>
            </w:pPr>
            <w:r w:rsidRPr="009F48B7">
              <w:rPr>
                <w:color w:val="000000" w:themeColor="text1"/>
                <w:sz w:val="22"/>
                <w:szCs w:val="22"/>
              </w:rPr>
              <w:t>7 459,1</w:t>
            </w:r>
          </w:p>
        </w:tc>
        <w:tc>
          <w:tcPr>
            <w:tcW w:w="1276" w:type="dxa"/>
          </w:tcPr>
          <w:p w14:paraId="3442D72E" w14:textId="67041CCF" w:rsidR="00B93036" w:rsidRPr="009F48B7" w:rsidRDefault="00B93036" w:rsidP="00B93036">
            <w:pPr>
              <w:jc w:val="center"/>
              <w:rPr>
                <w:color w:val="000000" w:themeColor="text1"/>
                <w:sz w:val="22"/>
                <w:szCs w:val="22"/>
              </w:rPr>
            </w:pPr>
            <w:r w:rsidRPr="009F48B7">
              <w:rPr>
                <w:color w:val="000000" w:themeColor="text1"/>
                <w:sz w:val="22"/>
                <w:szCs w:val="22"/>
              </w:rPr>
              <w:t>0,0</w:t>
            </w:r>
          </w:p>
        </w:tc>
      </w:tr>
      <w:tr w:rsidR="00B93036" w:rsidRPr="009F48B7" w14:paraId="2BC5AB50" w14:textId="77777777" w:rsidTr="00611405">
        <w:trPr>
          <w:trHeight w:val="833"/>
        </w:trPr>
        <w:tc>
          <w:tcPr>
            <w:tcW w:w="4106" w:type="dxa"/>
            <w:shd w:val="clear" w:color="auto" w:fill="FFF2CC" w:themeFill="accent4" w:themeFillTint="33"/>
            <w:hideMark/>
          </w:tcPr>
          <w:p w14:paraId="2784613F" w14:textId="77777777" w:rsidR="00B93036" w:rsidRPr="009F48B7" w:rsidRDefault="00B93036" w:rsidP="00B93036">
            <w:pPr>
              <w:jc w:val="both"/>
              <w:rPr>
                <w:i/>
                <w:iCs/>
                <w:color w:val="000000" w:themeColor="text1"/>
                <w:sz w:val="20"/>
                <w:szCs w:val="20"/>
              </w:rPr>
            </w:pPr>
            <w:r w:rsidRPr="009F48B7">
              <w:rPr>
                <w:i/>
                <w:iCs/>
                <w:color w:val="000000" w:themeColor="text1"/>
                <w:sz w:val="20"/>
                <w:szCs w:val="20"/>
              </w:rPr>
              <w:t>2. Kiti šaltiniai (Europos Sąjungos finansinė parama projektams įgyvendinti ir kitos teisėtai gautos lėšos, nurodant atskirus šaltinius)  KT</w:t>
            </w:r>
          </w:p>
        </w:tc>
        <w:tc>
          <w:tcPr>
            <w:tcW w:w="2126" w:type="dxa"/>
            <w:shd w:val="clear" w:color="auto" w:fill="FFF2CC" w:themeFill="accent4" w:themeFillTint="33"/>
          </w:tcPr>
          <w:p w14:paraId="1C936304" w14:textId="22CAE876" w:rsidR="00B93036" w:rsidRPr="009F48B7" w:rsidRDefault="00B93036" w:rsidP="00B93036">
            <w:pPr>
              <w:jc w:val="center"/>
              <w:rPr>
                <w:i/>
                <w:iCs/>
                <w:color w:val="000000" w:themeColor="text1"/>
                <w:sz w:val="22"/>
                <w:szCs w:val="22"/>
              </w:rPr>
            </w:pPr>
            <w:r w:rsidRPr="009F48B7">
              <w:rPr>
                <w:color w:val="000000" w:themeColor="text1"/>
                <w:sz w:val="22"/>
                <w:szCs w:val="22"/>
              </w:rPr>
              <w:t>1 155,0</w:t>
            </w:r>
          </w:p>
        </w:tc>
        <w:tc>
          <w:tcPr>
            <w:tcW w:w="1985" w:type="dxa"/>
            <w:shd w:val="clear" w:color="auto" w:fill="FFF2CC" w:themeFill="accent4" w:themeFillTint="33"/>
          </w:tcPr>
          <w:p w14:paraId="5D4A529D" w14:textId="5D44AAA4" w:rsidR="00B93036" w:rsidRPr="009F48B7" w:rsidRDefault="00B93036" w:rsidP="00B93036">
            <w:pPr>
              <w:jc w:val="center"/>
              <w:rPr>
                <w:i/>
                <w:iCs/>
                <w:color w:val="000000" w:themeColor="text1"/>
                <w:sz w:val="22"/>
                <w:szCs w:val="22"/>
              </w:rPr>
            </w:pPr>
            <w:r w:rsidRPr="009F48B7">
              <w:rPr>
                <w:color w:val="000000" w:themeColor="text1"/>
                <w:sz w:val="22"/>
                <w:szCs w:val="22"/>
              </w:rPr>
              <w:t>859,1</w:t>
            </w:r>
          </w:p>
        </w:tc>
        <w:tc>
          <w:tcPr>
            <w:tcW w:w="1276" w:type="dxa"/>
            <w:shd w:val="clear" w:color="auto" w:fill="FFF2CC" w:themeFill="accent4" w:themeFillTint="33"/>
          </w:tcPr>
          <w:p w14:paraId="075039CA" w14:textId="4D5D0087" w:rsidR="00B93036" w:rsidRPr="009F48B7" w:rsidRDefault="00B93036" w:rsidP="00B93036">
            <w:pPr>
              <w:jc w:val="center"/>
              <w:rPr>
                <w:color w:val="000000" w:themeColor="text1"/>
                <w:sz w:val="22"/>
                <w:szCs w:val="22"/>
              </w:rPr>
            </w:pPr>
            <w:r w:rsidRPr="009F48B7">
              <w:rPr>
                <w:color w:val="000000" w:themeColor="text1"/>
                <w:sz w:val="22"/>
                <w:szCs w:val="22"/>
              </w:rPr>
              <w:t>-295,9</w:t>
            </w:r>
          </w:p>
        </w:tc>
      </w:tr>
      <w:tr w:rsidR="00B93036" w:rsidRPr="009F48B7" w14:paraId="78FEADDB" w14:textId="77777777" w:rsidTr="00611405">
        <w:trPr>
          <w:trHeight w:val="557"/>
        </w:trPr>
        <w:tc>
          <w:tcPr>
            <w:tcW w:w="4106" w:type="dxa"/>
            <w:shd w:val="clear" w:color="auto" w:fill="D9E2F3" w:themeFill="accent1" w:themeFillTint="33"/>
            <w:hideMark/>
          </w:tcPr>
          <w:p w14:paraId="5949E6FD" w14:textId="77777777" w:rsidR="00B93036" w:rsidRPr="009F48B7" w:rsidRDefault="00B93036" w:rsidP="00B93036">
            <w:pPr>
              <w:jc w:val="both"/>
              <w:rPr>
                <w:b/>
                <w:bCs/>
                <w:i/>
                <w:iCs/>
                <w:color w:val="000000" w:themeColor="text1"/>
                <w:sz w:val="20"/>
                <w:szCs w:val="20"/>
              </w:rPr>
            </w:pPr>
            <w:r w:rsidRPr="009F48B7">
              <w:rPr>
                <w:b/>
                <w:bCs/>
                <w:i/>
                <w:iCs/>
                <w:color w:val="000000" w:themeColor="text1"/>
                <w:sz w:val="20"/>
                <w:szCs w:val="20"/>
              </w:rPr>
              <w:t>IŠ VISO programai finansuoti pagal finansavimo šaltinius (1 ir 2 punktai)</w:t>
            </w:r>
          </w:p>
        </w:tc>
        <w:tc>
          <w:tcPr>
            <w:tcW w:w="2126" w:type="dxa"/>
            <w:shd w:val="clear" w:color="auto" w:fill="D9E2F3" w:themeFill="accent1" w:themeFillTint="33"/>
          </w:tcPr>
          <w:p w14:paraId="032F6A54" w14:textId="2E534320" w:rsidR="00B93036" w:rsidRPr="009F48B7" w:rsidRDefault="00B93036" w:rsidP="00B93036">
            <w:pPr>
              <w:jc w:val="center"/>
              <w:rPr>
                <w:b/>
                <w:bCs/>
                <w:i/>
                <w:iCs/>
                <w:color w:val="000000" w:themeColor="text1"/>
                <w:sz w:val="22"/>
                <w:szCs w:val="22"/>
              </w:rPr>
            </w:pPr>
            <w:r w:rsidRPr="009F48B7">
              <w:rPr>
                <w:b/>
                <w:bCs/>
                <w:color w:val="000000" w:themeColor="text1"/>
                <w:sz w:val="22"/>
                <w:szCs w:val="22"/>
              </w:rPr>
              <w:t>152 339,4</w:t>
            </w:r>
          </w:p>
        </w:tc>
        <w:tc>
          <w:tcPr>
            <w:tcW w:w="1985" w:type="dxa"/>
            <w:shd w:val="clear" w:color="auto" w:fill="D9E2F3" w:themeFill="accent1" w:themeFillTint="33"/>
          </w:tcPr>
          <w:p w14:paraId="4D0EDA01" w14:textId="4B42EB88" w:rsidR="00B93036" w:rsidRPr="009F48B7" w:rsidRDefault="00B93036" w:rsidP="00B93036">
            <w:pPr>
              <w:jc w:val="center"/>
              <w:rPr>
                <w:b/>
                <w:bCs/>
                <w:i/>
                <w:iCs/>
                <w:color w:val="000000" w:themeColor="text1"/>
                <w:sz w:val="22"/>
                <w:szCs w:val="22"/>
              </w:rPr>
            </w:pPr>
            <w:r w:rsidRPr="009F48B7">
              <w:rPr>
                <w:b/>
                <w:bCs/>
                <w:color w:val="000000" w:themeColor="text1"/>
                <w:sz w:val="22"/>
                <w:szCs w:val="22"/>
              </w:rPr>
              <w:t>147 330,4</w:t>
            </w:r>
          </w:p>
        </w:tc>
        <w:tc>
          <w:tcPr>
            <w:tcW w:w="1276" w:type="dxa"/>
            <w:shd w:val="clear" w:color="auto" w:fill="D9E2F3" w:themeFill="accent1" w:themeFillTint="33"/>
          </w:tcPr>
          <w:p w14:paraId="4DCE28C3" w14:textId="016A1C9A" w:rsidR="00B93036" w:rsidRPr="009F48B7" w:rsidRDefault="00B93036" w:rsidP="00B93036">
            <w:pPr>
              <w:jc w:val="center"/>
              <w:rPr>
                <w:b/>
                <w:bCs/>
                <w:color w:val="000000" w:themeColor="text1"/>
                <w:sz w:val="22"/>
                <w:szCs w:val="22"/>
              </w:rPr>
            </w:pPr>
            <w:r w:rsidRPr="009F48B7">
              <w:rPr>
                <w:b/>
                <w:bCs/>
                <w:color w:val="000000" w:themeColor="text1"/>
                <w:sz w:val="22"/>
                <w:szCs w:val="22"/>
              </w:rPr>
              <w:t>-5 009,0</w:t>
            </w:r>
          </w:p>
        </w:tc>
      </w:tr>
    </w:tbl>
    <w:p w14:paraId="2AAF6FD5" w14:textId="77777777" w:rsidR="00931A4A" w:rsidRPr="009F48B7" w:rsidRDefault="00931A4A" w:rsidP="00EF12E0">
      <w:pPr>
        <w:spacing w:line="264" w:lineRule="auto"/>
        <w:ind w:firstLine="567"/>
        <w:jc w:val="both"/>
      </w:pPr>
    </w:p>
    <w:p w14:paraId="7BA976CC" w14:textId="5A1FF778" w:rsidR="00C72677" w:rsidRPr="009F48B7" w:rsidRDefault="00C72677" w:rsidP="00C72677">
      <w:pPr>
        <w:ind w:firstLine="720"/>
        <w:jc w:val="both"/>
        <w:rPr>
          <w:rFonts w:eastAsia="Calibri"/>
          <w14:ligatures w14:val="standardContextual"/>
        </w:rPr>
      </w:pPr>
      <w:r w:rsidRPr="009F48B7">
        <w:rPr>
          <w:rFonts w:eastAsia="Calibri"/>
          <w14:ligatures w14:val="standardContextual"/>
        </w:rPr>
        <w:t xml:space="preserve">Didžiausias pokytis </w:t>
      </w:r>
      <w:r w:rsidR="00B93036" w:rsidRPr="009F48B7">
        <w:rPr>
          <w:rFonts w:eastAsia="Calibri"/>
          <w14:ligatures w14:val="standardContextual"/>
        </w:rPr>
        <w:t>(</w:t>
      </w:r>
      <w:r w:rsidR="00DB3DEF" w:rsidRPr="009F48B7">
        <w:rPr>
          <w:rFonts w:eastAsia="Calibri"/>
          <w14:ligatures w14:val="standardContextual"/>
        </w:rPr>
        <w:t xml:space="preserve">apie </w:t>
      </w:r>
      <w:r w:rsidR="00B93036" w:rsidRPr="009F48B7">
        <w:rPr>
          <w:rFonts w:eastAsia="Calibri"/>
          <w14:ligatures w14:val="standardContextual"/>
        </w:rPr>
        <w:t>-</w:t>
      </w:r>
      <w:r w:rsidR="00DB3DEF" w:rsidRPr="009F48B7">
        <w:rPr>
          <w:rFonts w:eastAsia="Calibri"/>
          <w14:ligatures w14:val="standardContextual"/>
        </w:rPr>
        <w:t xml:space="preserve"> </w:t>
      </w:r>
      <w:r w:rsidR="00B93036" w:rsidRPr="009F48B7">
        <w:rPr>
          <w:rFonts w:eastAsia="Calibri"/>
          <w14:ligatures w14:val="standardContextual"/>
        </w:rPr>
        <w:t xml:space="preserve">4,4 mln. Eur) </w:t>
      </w:r>
      <w:r w:rsidRPr="009F48B7">
        <w:rPr>
          <w:rFonts w:eastAsia="Calibri"/>
          <w14:ligatures w14:val="standardContextual"/>
        </w:rPr>
        <w:t>susijęs su Valstybės biudžeto tikslinių dotacijų (SBVB) asignavimais. Pagrindinės pokyčio priežastys:</w:t>
      </w:r>
    </w:p>
    <w:p w14:paraId="60201C56" w14:textId="77777777" w:rsidR="00866597" w:rsidRPr="009F48B7" w:rsidRDefault="00866597" w:rsidP="00C72677">
      <w:pPr>
        <w:ind w:firstLine="720"/>
        <w:jc w:val="both"/>
        <w:rPr>
          <w:rFonts w:eastAsia="Calibri"/>
          <w14:ligatures w14:val="standardContextual"/>
        </w:rPr>
      </w:pPr>
    </w:p>
    <w:p w14:paraId="31B5C85D" w14:textId="3DDB9862" w:rsidR="00C72677" w:rsidRPr="009F48B7" w:rsidRDefault="00C72677" w:rsidP="00C72677">
      <w:pPr>
        <w:numPr>
          <w:ilvl w:val="0"/>
          <w:numId w:val="15"/>
        </w:numPr>
        <w:jc w:val="both"/>
        <w:rPr>
          <w:rFonts w:eastAsia="Calibri"/>
          <w14:ligatures w14:val="standardContextual"/>
        </w:rPr>
      </w:pPr>
      <w:r w:rsidRPr="009F48B7">
        <w:rPr>
          <w:rFonts w:eastAsia="Calibri"/>
          <w14:ligatures w14:val="standardContextual"/>
        </w:rPr>
        <w:t>LEZ infrastruktūros gerinimo priemonė (04 Ekonominės plėtros programa). 2025 m. Ekonomikos ir inovacijų ministro įsakymu patikslintos lėšos, skirtos darbams, kurie realiai gali būti įgyvendinti dar šiais metais – tai vandentvarkos rangos darbai ir techninės dokumentacijos parengimas dėl elektros galios didinimo. 2026 m. Administracija planuoja teikti paraišką dėl pačių elektros galios didinimo darbų finansavimo. Todėl iš anksto suplanuotos lėšos šiai priemonei perskirstytos tarp 2025 ir 2026 m</w:t>
      </w:r>
      <w:r w:rsidR="00675320" w:rsidRPr="009F48B7">
        <w:rPr>
          <w:rFonts w:eastAsia="Calibri"/>
          <w14:ligatures w14:val="standardContextual"/>
        </w:rPr>
        <w:t>.</w:t>
      </w:r>
    </w:p>
    <w:p w14:paraId="56EFAE3E" w14:textId="2F53D070" w:rsidR="00B8577D" w:rsidRPr="009F48B7" w:rsidRDefault="00C72677" w:rsidP="00EE2214">
      <w:pPr>
        <w:numPr>
          <w:ilvl w:val="0"/>
          <w:numId w:val="15"/>
        </w:numPr>
        <w:jc w:val="both"/>
        <w:rPr>
          <w:rFonts w:eastAsia="Calibri"/>
          <w14:ligatures w14:val="standardContextual"/>
        </w:rPr>
      </w:pPr>
      <w:r w:rsidRPr="009F48B7">
        <w:rPr>
          <w:rFonts w:eastAsia="Calibri"/>
          <w14:ligatures w14:val="standardContextual"/>
        </w:rPr>
        <w:t>Socialinės apsaugos sritis</w:t>
      </w:r>
      <w:r w:rsidR="00A4150A" w:rsidRPr="009F48B7">
        <w:rPr>
          <w:rFonts w:eastAsia="Calibri"/>
          <w14:ligatures w14:val="standardContextual"/>
        </w:rPr>
        <w:t xml:space="preserve"> (02 Socialinės gerovės užtikrinimo programa). </w:t>
      </w:r>
      <w:r w:rsidRPr="009F48B7">
        <w:rPr>
          <w:rFonts w:eastAsia="Calibri"/>
          <w14:ligatures w14:val="standardContextual"/>
        </w:rPr>
        <w:t>Tikslinamos lėšos, skirtos socialinei apsaugai, pagal Socialinės apsaugos ministro įsakymus.</w:t>
      </w:r>
    </w:p>
    <w:p w14:paraId="22E152B9" w14:textId="77777777" w:rsidR="00C72677" w:rsidRPr="009F48B7" w:rsidRDefault="00C72677" w:rsidP="00C72677">
      <w:pPr>
        <w:ind w:left="720"/>
        <w:jc w:val="both"/>
        <w:rPr>
          <w:rFonts w:eastAsia="Calibri"/>
          <w14:ligatures w14:val="standardContextual"/>
        </w:rPr>
      </w:pPr>
    </w:p>
    <w:p w14:paraId="43FC5D23" w14:textId="7395E525" w:rsidR="00B8577D" w:rsidRPr="009F48B7" w:rsidRDefault="00B8577D" w:rsidP="00C72677">
      <w:pPr>
        <w:ind w:firstLine="720"/>
        <w:jc w:val="both"/>
        <w:rPr>
          <w:rFonts w:eastAsia="Calibri"/>
          <w14:ligatures w14:val="standardContextual"/>
        </w:rPr>
      </w:pPr>
      <w:r w:rsidRPr="009F48B7">
        <w:rPr>
          <w:rFonts w:eastAsia="Calibri"/>
          <w14:ligatures w14:val="standardContextual"/>
        </w:rPr>
        <w:t xml:space="preserve">Taip pat peržiūrėjus tiek Administracijos, tiek įstaigų (Kėdainių miesto bei rajono VVG) įgyvendinamus ES projektus, ES lėšos </w:t>
      </w:r>
      <w:r w:rsidR="00675320" w:rsidRPr="009F48B7">
        <w:rPr>
          <w:rFonts w:eastAsia="Calibri"/>
          <w14:ligatures w14:val="standardContextual"/>
        </w:rPr>
        <w:t>2025 m. mažėja</w:t>
      </w:r>
      <w:r w:rsidRPr="009F48B7">
        <w:rPr>
          <w:rFonts w:eastAsia="Calibri"/>
          <w14:ligatures w14:val="standardContextual"/>
        </w:rPr>
        <w:t xml:space="preserve"> apie 800 tūkst. Eur, t.y. šios lėšos perskirstomos</w:t>
      </w:r>
      <w:r w:rsidR="001575A6" w:rsidRPr="009F48B7">
        <w:rPr>
          <w:rFonts w:eastAsia="Calibri"/>
          <w14:ligatures w14:val="standardContextual"/>
        </w:rPr>
        <w:t>, atsižvelgiant į projektų įgyvendinimo laikotarpį.</w:t>
      </w:r>
      <w:r w:rsidRPr="009F48B7">
        <w:rPr>
          <w:rFonts w:eastAsia="Calibri"/>
          <w14:ligatures w14:val="standardContextual"/>
        </w:rPr>
        <w:t xml:space="preserve"> </w:t>
      </w:r>
    </w:p>
    <w:p w14:paraId="20FB8D22" w14:textId="77777777" w:rsidR="00C72677" w:rsidRPr="009F48B7" w:rsidRDefault="00C72677" w:rsidP="00C72677">
      <w:pPr>
        <w:ind w:firstLine="720"/>
        <w:jc w:val="both"/>
        <w:rPr>
          <w:rFonts w:eastAsia="Calibri"/>
          <w14:ligatures w14:val="standardContextual"/>
        </w:rPr>
      </w:pPr>
    </w:p>
    <w:p w14:paraId="323E76D9" w14:textId="119D55C2" w:rsidR="00B8577D" w:rsidRPr="009F48B7" w:rsidRDefault="00C72677" w:rsidP="00C72677">
      <w:pPr>
        <w:ind w:firstLine="720"/>
        <w:jc w:val="both"/>
        <w:rPr>
          <w:rFonts w:eastAsia="Calibri"/>
          <w14:ligatures w14:val="standardContextual"/>
        </w:rPr>
      </w:pPr>
      <w:r w:rsidRPr="009F48B7">
        <w:rPr>
          <w:rFonts w:eastAsia="Calibri"/>
          <w14:ligatures w14:val="standardContextual"/>
        </w:rPr>
        <w:t>V</w:t>
      </w:r>
      <w:r w:rsidR="00B8577D" w:rsidRPr="009F48B7">
        <w:rPr>
          <w:rFonts w:eastAsia="Calibri"/>
          <w14:ligatures w14:val="standardContextual"/>
        </w:rPr>
        <w:t xml:space="preserve">ertinant </w:t>
      </w:r>
      <w:r w:rsidRPr="009F48B7">
        <w:rPr>
          <w:rFonts w:eastAsia="Calibri"/>
          <w14:ligatures w14:val="standardContextual"/>
        </w:rPr>
        <w:t>S</w:t>
      </w:r>
      <w:r w:rsidR="00B8577D" w:rsidRPr="009F48B7">
        <w:rPr>
          <w:rFonts w:eastAsia="Calibri"/>
          <w14:ligatures w14:val="standardContextual"/>
        </w:rPr>
        <w:t xml:space="preserve">avivaldybės biudžeto lėšų (SB) poreikį plano tikslinimo metu –  papildomų asignavimų poreikis siekė apie 798 tūkst. Eur. </w:t>
      </w:r>
      <w:r w:rsidRPr="009F48B7">
        <w:rPr>
          <w:rFonts w:eastAsia="Calibri"/>
          <w14:ligatures w14:val="standardContextual"/>
        </w:rPr>
        <w:t>A</w:t>
      </w:r>
      <w:r w:rsidR="00B8577D" w:rsidRPr="009F48B7">
        <w:rPr>
          <w:rFonts w:eastAsia="Calibri"/>
          <w14:ligatures w14:val="standardContextual"/>
        </w:rPr>
        <w:t xml:space="preserve">tlikus </w:t>
      </w:r>
      <w:r w:rsidRPr="009F48B7">
        <w:rPr>
          <w:rFonts w:eastAsia="Calibri"/>
          <w14:ligatures w14:val="standardContextual"/>
        </w:rPr>
        <w:t>V</w:t>
      </w:r>
      <w:r w:rsidR="00B8577D" w:rsidRPr="009F48B7">
        <w:rPr>
          <w:rFonts w:eastAsia="Calibri"/>
          <w14:ligatures w14:val="standardContextual"/>
        </w:rPr>
        <w:t>eiklos plano vykdymo monitoringą, įvertinus faktinę priemonių įgyvendinimo eigą, viešųjų pirkimų rezultatus bei faktinį lėšų panaudojimą, buvo atliktas biudžeto lėšų perskirstymas tarp priemonių. Optimizavus lėšų paskirstymą, SB lėšos buvo subalansuotos vidaus resursų ribose, t.y.  poreikis, kuris sudarė 798 tūkst. Eur, per perskirstymus padengtas esamomis biudžeto lėšomis.</w:t>
      </w:r>
    </w:p>
    <w:p w14:paraId="21623EEC" w14:textId="77777777" w:rsidR="00B8577D" w:rsidRPr="009F48B7" w:rsidRDefault="00B8577D" w:rsidP="00C72677">
      <w:pPr>
        <w:ind w:firstLine="720"/>
        <w:jc w:val="both"/>
        <w:rPr>
          <w:rFonts w:eastAsia="Calibri"/>
          <w14:ligatures w14:val="standardContextual"/>
        </w:rPr>
      </w:pPr>
    </w:p>
    <w:p w14:paraId="5114A047" w14:textId="77777777" w:rsidR="00B8577D" w:rsidRPr="009F48B7" w:rsidRDefault="00B8577D" w:rsidP="00C72677">
      <w:pPr>
        <w:ind w:firstLine="720"/>
        <w:jc w:val="both"/>
        <w:rPr>
          <w:rFonts w:eastAsia="Calibri"/>
          <w14:ligatures w14:val="standardContextual"/>
        </w:rPr>
      </w:pPr>
      <w:r w:rsidRPr="009F48B7">
        <w:rPr>
          <w:rFonts w:eastAsia="Calibri"/>
          <w14:ligatures w14:val="standardContextual"/>
        </w:rPr>
        <w:t xml:space="preserve">170 tūkst. Eur didėja Aplinkos apsaugos specialiosios rėmimo programos lėšos (SB AA), surinkus daugiau nei planuota pajamų į Aplinkos apsaugos specialiąją programą. Šios lėšos paskirstytos aplinkosauginėms priemonėms. </w:t>
      </w:r>
    </w:p>
    <w:p w14:paraId="4F035943" w14:textId="77777777" w:rsidR="00C72677" w:rsidRPr="009F48B7" w:rsidRDefault="00C72677" w:rsidP="000F3B26">
      <w:pPr>
        <w:spacing w:line="264" w:lineRule="auto"/>
        <w:ind w:firstLine="720"/>
        <w:jc w:val="both"/>
        <w:rPr>
          <w:kern w:val="2"/>
        </w:rPr>
      </w:pPr>
    </w:p>
    <w:p w14:paraId="0E65E67D" w14:textId="1AE7F088" w:rsidR="00B91544" w:rsidRPr="009F48B7" w:rsidRDefault="00B91544" w:rsidP="000F3B26">
      <w:pPr>
        <w:spacing w:line="264" w:lineRule="auto"/>
        <w:ind w:firstLine="720"/>
        <w:jc w:val="both"/>
        <w:rPr>
          <w:b/>
          <w:bCs/>
          <w:kern w:val="2"/>
        </w:rPr>
      </w:pPr>
      <w:r w:rsidRPr="009F48B7">
        <w:rPr>
          <w:b/>
          <w:bCs/>
          <w:kern w:val="2"/>
        </w:rPr>
        <w:t>Laukiami rezultatai:</w:t>
      </w:r>
      <w:r w:rsidRPr="009F48B7">
        <w:rPr>
          <w:b/>
          <w:bCs/>
        </w:rPr>
        <w:t xml:space="preserve"> </w:t>
      </w:r>
    </w:p>
    <w:p w14:paraId="7648117D" w14:textId="3CFF5C54" w:rsidR="00B91544" w:rsidRPr="009F48B7" w:rsidRDefault="00B91544" w:rsidP="000F3B26">
      <w:pPr>
        <w:pStyle w:val="Textbeitrauku"/>
        <w:spacing w:line="264" w:lineRule="auto"/>
        <w:ind w:firstLine="720"/>
      </w:pPr>
      <w:r w:rsidRPr="009F48B7">
        <w:rPr>
          <w:szCs w:val="24"/>
        </w:rPr>
        <w:lastRenderedPageBreak/>
        <w:t xml:space="preserve">Patvirtinus </w:t>
      </w:r>
      <w:r w:rsidRPr="009F48B7">
        <w:t>Kėdainių rajono savivaldybės 202</w:t>
      </w:r>
      <w:r w:rsidR="00B8577D" w:rsidRPr="009F48B7">
        <w:t>5</w:t>
      </w:r>
      <w:r w:rsidRPr="009F48B7">
        <w:t>–202</w:t>
      </w:r>
      <w:r w:rsidR="00B8577D" w:rsidRPr="009F48B7">
        <w:t>7</w:t>
      </w:r>
      <w:r w:rsidRPr="009F48B7">
        <w:t xml:space="preserve"> metų strateginio veiklos plano </w:t>
      </w:r>
      <w:r w:rsidRPr="009F48B7">
        <w:rPr>
          <w:szCs w:val="24"/>
        </w:rPr>
        <w:t>pakeitimus</w:t>
      </w:r>
      <w:r w:rsidRPr="009F48B7">
        <w:t xml:space="preserve">, Savivaldybės administracija turės galimybę tinkamai įgyvendinti einamųjų metų programų priemones, reaguoti planuojant kitų metų priemones, dokumente atsispindės priemonėms patikslintas, sumažintas ar papildomai skirtas/numatomas finansavimas iš Savivaldybės, </w:t>
      </w:r>
      <w:r w:rsidR="002C4D9D" w:rsidRPr="009F48B7">
        <w:t>V</w:t>
      </w:r>
      <w:r w:rsidRPr="009F48B7">
        <w:t>alstybės, Europos Sąjungos biudžeto ir kitų finansavimo šaltinių.</w:t>
      </w:r>
    </w:p>
    <w:p w14:paraId="45D3DE92" w14:textId="77777777" w:rsidR="009626C3" w:rsidRPr="009F48B7" w:rsidRDefault="009626C3" w:rsidP="00BA195B">
      <w:pPr>
        <w:pStyle w:val="Textbeitrauku"/>
        <w:ind w:firstLine="720"/>
      </w:pPr>
    </w:p>
    <w:p w14:paraId="6C0E721C" w14:textId="77777777" w:rsidR="00E633A1" w:rsidRPr="009F48B7" w:rsidRDefault="00E633A1" w:rsidP="00123867">
      <w:pPr>
        <w:pStyle w:val="prastasiniatinklio"/>
        <w:spacing w:before="0" w:beforeAutospacing="0" w:after="0" w:afterAutospacing="0"/>
        <w:jc w:val="both"/>
        <w:rPr>
          <w:b/>
          <w:bCs/>
          <w:kern w:val="1"/>
        </w:rPr>
      </w:pPr>
      <w:r w:rsidRPr="009F48B7">
        <w:rPr>
          <w:b/>
          <w:bCs/>
          <w:kern w:val="1"/>
        </w:rPr>
        <w:t>Numatomo teisinio reguliavimo poveikio vertinimas*</w:t>
      </w:r>
    </w:p>
    <w:p w14:paraId="013C8BAB" w14:textId="77777777" w:rsidR="00E633A1" w:rsidRPr="009F48B7" w:rsidRDefault="00E633A1" w:rsidP="00E633A1">
      <w:pPr>
        <w:ind w:firstLine="709"/>
        <w:jc w:val="both"/>
        <w:rPr>
          <w:b/>
          <w:bCs/>
          <w:kern w:val="1"/>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2693"/>
        <w:gridCol w:w="3119"/>
      </w:tblGrid>
      <w:tr w:rsidR="00E633A1" w:rsidRPr="009F48B7" w14:paraId="3A2D77C3" w14:textId="77777777" w:rsidTr="001E3B97">
        <w:trPr>
          <w:trHeight w:val="285"/>
        </w:trPr>
        <w:tc>
          <w:tcPr>
            <w:tcW w:w="3828" w:type="dxa"/>
            <w:vMerge w:val="restart"/>
            <w:tcBorders>
              <w:top w:val="single" w:sz="4" w:space="0" w:color="000000"/>
              <w:left w:val="single" w:sz="4" w:space="0" w:color="000000"/>
              <w:bottom w:val="single" w:sz="4" w:space="0" w:color="000000"/>
              <w:right w:val="single" w:sz="4" w:space="0" w:color="000000"/>
            </w:tcBorders>
            <w:hideMark/>
          </w:tcPr>
          <w:p w14:paraId="0AC6DD64" w14:textId="77777777" w:rsidR="00E633A1" w:rsidRPr="009F48B7" w:rsidRDefault="00E633A1" w:rsidP="00EF5EED">
            <w:pPr>
              <w:jc w:val="center"/>
              <w:rPr>
                <w:b/>
                <w:kern w:val="1"/>
                <w:sz w:val="20"/>
                <w:szCs w:val="20"/>
                <w:lang w:bidi="lo-LA"/>
              </w:rPr>
            </w:pPr>
            <w:r w:rsidRPr="009F48B7">
              <w:rPr>
                <w:b/>
                <w:kern w:val="1"/>
                <w:sz w:val="20"/>
                <w:szCs w:val="20"/>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A27F6A3" w14:textId="77777777" w:rsidR="00E633A1" w:rsidRPr="009F48B7" w:rsidRDefault="00E633A1" w:rsidP="00EF5EED">
            <w:pPr>
              <w:jc w:val="center"/>
              <w:rPr>
                <w:b/>
                <w:bCs/>
                <w:kern w:val="1"/>
                <w:sz w:val="20"/>
                <w:szCs w:val="20"/>
              </w:rPr>
            </w:pPr>
            <w:r w:rsidRPr="009F48B7">
              <w:rPr>
                <w:b/>
                <w:bCs/>
                <w:kern w:val="1"/>
                <w:sz w:val="20"/>
                <w:szCs w:val="20"/>
              </w:rPr>
              <w:t>Numatomo teisinio reguliavimo poveikio vertinimo rezultatai</w:t>
            </w:r>
          </w:p>
        </w:tc>
      </w:tr>
      <w:tr w:rsidR="00E633A1" w:rsidRPr="009F48B7" w14:paraId="17D0EDA1" w14:textId="77777777" w:rsidTr="001E3B97">
        <w:trPr>
          <w:trHeight w:val="180"/>
        </w:trPr>
        <w:tc>
          <w:tcPr>
            <w:tcW w:w="3828" w:type="dxa"/>
            <w:vMerge/>
            <w:tcBorders>
              <w:top w:val="single" w:sz="4" w:space="0" w:color="000000"/>
              <w:left w:val="single" w:sz="4" w:space="0" w:color="000000"/>
              <w:bottom w:val="single" w:sz="4" w:space="0" w:color="000000"/>
              <w:right w:val="single" w:sz="4" w:space="0" w:color="000000"/>
            </w:tcBorders>
            <w:vAlign w:val="center"/>
            <w:hideMark/>
          </w:tcPr>
          <w:p w14:paraId="7D5839EF" w14:textId="77777777" w:rsidR="00E633A1" w:rsidRPr="009F48B7" w:rsidRDefault="00E633A1" w:rsidP="00EF5EED">
            <w:pPr>
              <w:rPr>
                <w:b/>
                <w:kern w:val="1"/>
                <w:sz w:val="20"/>
                <w:szCs w:val="20"/>
                <w:lang w:bidi="lo-LA"/>
              </w:rPr>
            </w:pPr>
          </w:p>
        </w:tc>
        <w:tc>
          <w:tcPr>
            <w:tcW w:w="2693" w:type="dxa"/>
            <w:tcBorders>
              <w:top w:val="single" w:sz="4" w:space="0" w:color="auto"/>
              <w:left w:val="single" w:sz="4" w:space="0" w:color="000000"/>
              <w:bottom w:val="single" w:sz="4" w:space="0" w:color="000000"/>
              <w:right w:val="single" w:sz="4" w:space="0" w:color="000000"/>
            </w:tcBorders>
            <w:hideMark/>
          </w:tcPr>
          <w:p w14:paraId="3CB36FEC" w14:textId="77777777" w:rsidR="00E633A1" w:rsidRPr="009F48B7" w:rsidRDefault="00E633A1" w:rsidP="00EF5EED">
            <w:pPr>
              <w:jc w:val="center"/>
              <w:rPr>
                <w:b/>
                <w:kern w:val="1"/>
                <w:sz w:val="20"/>
                <w:szCs w:val="20"/>
              </w:rPr>
            </w:pPr>
            <w:r w:rsidRPr="009F48B7">
              <w:rPr>
                <w:b/>
                <w:kern w:val="1"/>
                <w:sz w:val="20"/>
                <w:szCs w:val="20"/>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4AD9925E" w14:textId="77777777" w:rsidR="00E633A1" w:rsidRPr="009F48B7" w:rsidRDefault="00E633A1" w:rsidP="00EF5EED">
            <w:pPr>
              <w:jc w:val="center"/>
              <w:rPr>
                <w:b/>
                <w:kern w:val="1"/>
                <w:sz w:val="20"/>
                <w:szCs w:val="20"/>
                <w:lang w:bidi="lo-LA"/>
              </w:rPr>
            </w:pPr>
            <w:r w:rsidRPr="009F48B7">
              <w:rPr>
                <w:b/>
                <w:kern w:val="1"/>
                <w:sz w:val="20"/>
                <w:szCs w:val="20"/>
              </w:rPr>
              <w:t>Neigiamas poveikis</w:t>
            </w:r>
          </w:p>
        </w:tc>
      </w:tr>
      <w:tr w:rsidR="00E633A1" w:rsidRPr="009F48B7" w14:paraId="56FA615D" w14:textId="77777777" w:rsidTr="001E3B97">
        <w:tc>
          <w:tcPr>
            <w:tcW w:w="3828" w:type="dxa"/>
            <w:tcBorders>
              <w:top w:val="single" w:sz="4" w:space="0" w:color="000000"/>
              <w:left w:val="single" w:sz="4" w:space="0" w:color="000000"/>
              <w:bottom w:val="single" w:sz="4" w:space="0" w:color="000000"/>
              <w:right w:val="single" w:sz="4" w:space="0" w:color="000000"/>
            </w:tcBorders>
            <w:hideMark/>
          </w:tcPr>
          <w:p w14:paraId="4538E5EC" w14:textId="77777777" w:rsidR="00E633A1" w:rsidRPr="009F48B7" w:rsidRDefault="00E633A1" w:rsidP="00EF5EED">
            <w:pPr>
              <w:rPr>
                <w:i/>
                <w:kern w:val="1"/>
                <w:sz w:val="20"/>
                <w:szCs w:val="20"/>
                <w:lang w:bidi="lo-LA"/>
              </w:rPr>
            </w:pPr>
            <w:r w:rsidRPr="009F48B7">
              <w:rPr>
                <w:i/>
                <w:kern w:val="1"/>
                <w:sz w:val="20"/>
                <w:szCs w:val="20"/>
              </w:rPr>
              <w:t>Ekonomikai</w:t>
            </w:r>
          </w:p>
        </w:tc>
        <w:tc>
          <w:tcPr>
            <w:tcW w:w="2693" w:type="dxa"/>
            <w:tcBorders>
              <w:top w:val="single" w:sz="4" w:space="0" w:color="000000"/>
              <w:left w:val="single" w:sz="4" w:space="0" w:color="000000"/>
              <w:bottom w:val="single" w:sz="4" w:space="0" w:color="000000"/>
              <w:right w:val="single" w:sz="4" w:space="0" w:color="000000"/>
            </w:tcBorders>
          </w:tcPr>
          <w:p w14:paraId="32D95D8F" w14:textId="77777777" w:rsidR="00E633A1" w:rsidRPr="009F48B7" w:rsidRDefault="00E633A1" w:rsidP="00EF5EED">
            <w:pPr>
              <w:rPr>
                <w:i/>
                <w:kern w:val="1"/>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14:paraId="57E71415" w14:textId="77777777" w:rsidR="00E633A1" w:rsidRPr="009F48B7" w:rsidRDefault="00E633A1" w:rsidP="00EF5EED">
            <w:pPr>
              <w:rPr>
                <w:i/>
                <w:kern w:val="1"/>
                <w:sz w:val="20"/>
                <w:szCs w:val="20"/>
                <w:lang w:bidi="lo-LA"/>
              </w:rPr>
            </w:pPr>
          </w:p>
        </w:tc>
      </w:tr>
      <w:tr w:rsidR="00E633A1" w:rsidRPr="009F48B7" w14:paraId="137A57F9" w14:textId="77777777" w:rsidTr="001E3B97">
        <w:tc>
          <w:tcPr>
            <w:tcW w:w="3828" w:type="dxa"/>
            <w:tcBorders>
              <w:top w:val="single" w:sz="4" w:space="0" w:color="000000"/>
              <w:left w:val="single" w:sz="4" w:space="0" w:color="000000"/>
              <w:bottom w:val="single" w:sz="4" w:space="0" w:color="000000"/>
              <w:right w:val="single" w:sz="4" w:space="0" w:color="000000"/>
            </w:tcBorders>
            <w:hideMark/>
          </w:tcPr>
          <w:p w14:paraId="5E7610AA" w14:textId="77777777" w:rsidR="00E633A1" w:rsidRPr="009F48B7" w:rsidRDefault="00E633A1" w:rsidP="00EF5EED">
            <w:pPr>
              <w:rPr>
                <w:i/>
                <w:kern w:val="1"/>
                <w:sz w:val="20"/>
                <w:szCs w:val="20"/>
                <w:lang w:bidi="lo-LA"/>
              </w:rPr>
            </w:pPr>
            <w:r w:rsidRPr="009F48B7">
              <w:rPr>
                <w:i/>
                <w:kern w:val="1"/>
                <w:sz w:val="20"/>
                <w:szCs w:val="20"/>
              </w:rPr>
              <w:t>Finansams</w:t>
            </w:r>
          </w:p>
        </w:tc>
        <w:tc>
          <w:tcPr>
            <w:tcW w:w="2693" w:type="dxa"/>
            <w:tcBorders>
              <w:top w:val="single" w:sz="4" w:space="0" w:color="000000"/>
              <w:left w:val="single" w:sz="4" w:space="0" w:color="000000"/>
              <w:bottom w:val="single" w:sz="4" w:space="0" w:color="000000"/>
              <w:right w:val="single" w:sz="4" w:space="0" w:color="000000"/>
            </w:tcBorders>
          </w:tcPr>
          <w:p w14:paraId="726A2877" w14:textId="77777777" w:rsidR="00E633A1" w:rsidRPr="009F48B7" w:rsidRDefault="00E633A1" w:rsidP="00EF5EED">
            <w:pPr>
              <w:rPr>
                <w:i/>
                <w:kern w:val="1"/>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D9F4DD8" w14:textId="77777777" w:rsidR="00E633A1" w:rsidRPr="009F48B7" w:rsidRDefault="00E633A1" w:rsidP="00EF5EED">
            <w:pPr>
              <w:rPr>
                <w:i/>
                <w:kern w:val="1"/>
                <w:sz w:val="20"/>
                <w:szCs w:val="20"/>
                <w:lang w:bidi="lo-LA"/>
              </w:rPr>
            </w:pPr>
          </w:p>
        </w:tc>
      </w:tr>
      <w:tr w:rsidR="00E633A1" w:rsidRPr="009F48B7" w14:paraId="49CBC3E0" w14:textId="77777777" w:rsidTr="001E3B97">
        <w:tc>
          <w:tcPr>
            <w:tcW w:w="3828" w:type="dxa"/>
            <w:tcBorders>
              <w:top w:val="single" w:sz="4" w:space="0" w:color="000000"/>
              <w:left w:val="single" w:sz="4" w:space="0" w:color="000000"/>
              <w:bottom w:val="single" w:sz="4" w:space="0" w:color="000000"/>
              <w:right w:val="single" w:sz="4" w:space="0" w:color="000000"/>
            </w:tcBorders>
            <w:hideMark/>
          </w:tcPr>
          <w:p w14:paraId="578DB2B6" w14:textId="77777777" w:rsidR="00E633A1" w:rsidRPr="009F48B7" w:rsidRDefault="00E633A1" w:rsidP="00EF5EED">
            <w:pPr>
              <w:rPr>
                <w:i/>
                <w:kern w:val="1"/>
                <w:sz w:val="20"/>
                <w:szCs w:val="20"/>
                <w:lang w:bidi="lo-LA"/>
              </w:rPr>
            </w:pPr>
            <w:r w:rsidRPr="009F48B7">
              <w:rPr>
                <w:i/>
                <w:kern w:val="1"/>
                <w:sz w:val="20"/>
                <w:szCs w:val="20"/>
              </w:rPr>
              <w:t>Socialinei aplinkai</w:t>
            </w:r>
          </w:p>
        </w:tc>
        <w:tc>
          <w:tcPr>
            <w:tcW w:w="2693" w:type="dxa"/>
            <w:tcBorders>
              <w:top w:val="single" w:sz="4" w:space="0" w:color="000000"/>
              <w:left w:val="single" w:sz="4" w:space="0" w:color="000000"/>
              <w:bottom w:val="single" w:sz="4" w:space="0" w:color="000000"/>
              <w:right w:val="single" w:sz="4" w:space="0" w:color="000000"/>
            </w:tcBorders>
          </w:tcPr>
          <w:p w14:paraId="720DE65A" w14:textId="77777777" w:rsidR="00E633A1" w:rsidRPr="009F48B7" w:rsidRDefault="00E633A1" w:rsidP="00EF5EED">
            <w:pPr>
              <w:rPr>
                <w:i/>
                <w:kern w:val="1"/>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A4AFCAA" w14:textId="77777777" w:rsidR="00E633A1" w:rsidRPr="009F48B7" w:rsidRDefault="00E633A1" w:rsidP="00EF5EED">
            <w:pPr>
              <w:rPr>
                <w:i/>
                <w:kern w:val="1"/>
                <w:sz w:val="20"/>
                <w:szCs w:val="20"/>
                <w:lang w:bidi="lo-LA"/>
              </w:rPr>
            </w:pPr>
          </w:p>
        </w:tc>
      </w:tr>
      <w:tr w:rsidR="00E633A1" w:rsidRPr="009F48B7" w14:paraId="69E52314" w14:textId="77777777" w:rsidTr="001E3B97">
        <w:tc>
          <w:tcPr>
            <w:tcW w:w="3828" w:type="dxa"/>
            <w:tcBorders>
              <w:top w:val="single" w:sz="4" w:space="0" w:color="000000"/>
              <w:left w:val="single" w:sz="4" w:space="0" w:color="000000"/>
              <w:bottom w:val="single" w:sz="4" w:space="0" w:color="000000"/>
              <w:right w:val="single" w:sz="4" w:space="0" w:color="000000"/>
            </w:tcBorders>
            <w:hideMark/>
          </w:tcPr>
          <w:p w14:paraId="2926321B" w14:textId="77777777" w:rsidR="00E633A1" w:rsidRPr="009F48B7" w:rsidRDefault="00E633A1" w:rsidP="00EF5EED">
            <w:pPr>
              <w:rPr>
                <w:i/>
                <w:kern w:val="1"/>
                <w:sz w:val="20"/>
                <w:szCs w:val="20"/>
                <w:lang w:bidi="lo-LA"/>
              </w:rPr>
            </w:pPr>
            <w:r w:rsidRPr="009F48B7">
              <w:rPr>
                <w:i/>
                <w:kern w:val="1"/>
                <w:sz w:val="20"/>
                <w:szCs w:val="20"/>
              </w:rPr>
              <w:t>Viešajam administravimui</w:t>
            </w:r>
          </w:p>
        </w:tc>
        <w:tc>
          <w:tcPr>
            <w:tcW w:w="2693" w:type="dxa"/>
            <w:tcBorders>
              <w:top w:val="single" w:sz="4" w:space="0" w:color="000000"/>
              <w:left w:val="single" w:sz="4" w:space="0" w:color="000000"/>
              <w:bottom w:val="single" w:sz="4" w:space="0" w:color="000000"/>
              <w:right w:val="single" w:sz="4" w:space="0" w:color="000000"/>
            </w:tcBorders>
          </w:tcPr>
          <w:p w14:paraId="395D0575" w14:textId="77777777" w:rsidR="00E633A1" w:rsidRPr="009F48B7" w:rsidRDefault="00E633A1" w:rsidP="00EF5EED">
            <w:pPr>
              <w:rPr>
                <w:i/>
                <w:kern w:val="1"/>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0A73691" w14:textId="77777777" w:rsidR="00E633A1" w:rsidRPr="009F48B7" w:rsidRDefault="00E633A1" w:rsidP="00EF5EED">
            <w:pPr>
              <w:rPr>
                <w:i/>
                <w:kern w:val="1"/>
                <w:sz w:val="20"/>
                <w:szCs w:val="20"/>
                <w:lang w:bidi="lo-LA"/>
              </w:rPr>
            </w:pPr>
          </w:p>
        </w:tc>
      </w:tr>
      <w:tr w:rsidR="00E633A1" w:rsidRPr="009F48B7" w14:paraId="68D85A73" w14:textId="77777777" w:rsidTr="001E3B97">
        <w:tc>
          <w:tcPr>
            <w:tcW w:w="3828" w:type="dxa"/>
            <w:tcBorders>
              <w:top w:val="single" w:sz="4" w:space="0" w:color="000000"/>
              <w:left w:val="single" w:sz="4" w:space="0" w:color="000000"/>
              <w:bottom w:val="single" w:sz="4" w:space="0" w:color="000000"/>
              <w:right w:val="single" w:sz="4" w:space="0" w:color="000000"/>
            </w:tcBorders>
            <w:hideMark/>
          </w:tcPr>
          <w:p w14:paraId="167F9E45" w14:textId="77777777" w:rsidR="00E633A1" w:rsidRPr="009F48B7" w:rsidRDefault="00E633A1" w:rsidP="00EF5EED">
            <w:pPr>
              <w:rPr>
                <w:i/>
                <w:kern w:val="1"/>
                <w:sz w:val="20"/>
                <w:szCs w:val="20"/>
                <w:lang w:bidi="lo-LA"/>
              </w:rPr>
            </w:pPr>
            <w:r w:rsidRPr="009F48B7">
              <w:rPr>
                <w:i/>
                <w:kern w:val="1"/>
                <w:sz w:val="20"/>
                <w:szCs w:val="20"/>
              </w:rPr>
              <w:t>Teisinei sistemai</w:t>
            </w:r>
          </w:p>
        </w:tc>
        <w:tc>
          <w:tcPr>
            <w:tcW w:w="2693" w:type="dxa"/>
            <w:tcBorders>
              <w:top w:val="single" w:sz="4" w:space="0" w:color="000000"/>
              <w:left w:val="single" w:sz="4" w:space="0" w:color="000000"/>
              <w:bottom w:val="single" w:sz="4" w:space="0" w:color="000000"/>
              <w:right w:val="single" w:sz="4" w:space="0" w:color="000000"/>
            </w:tcBorders>
          </w:tcPr>
          <w:p w14:paraId="38E7750A" w14:textId="77777777" w:rsidR="00E633A1" w:rsidRPr="009F48B7" w:rsidRDefault="00E633A1" w:rsidP="00EF5EED">
            <w:pPr>
              <w:rPr>
                <w:i/>
                <w:kern w:val="1"/>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281CE69" w14:textId="77777777" w:rsidR="00E633A1" w:rsidRPr="009F48B7" w:rsidRDefault="00E633A1" w:rsidP="00EF5EED">
            <w:pPr>
              <w:rPr>
                <w:i/>
                <w:kern w:val="1"/>
                <w:sz w:val="20"/>
                <w:szCs w:val="20"/>
                <w:lang w:bidi="lo-LA"/>
              </w:rPr>
            </w:pPr>
          </w:p>
        </w:tc>
      </w:tr>
      <w:tr w:rsidR="00E633A1" w:rsidRPr="009F48B7" w14:paraId="5AF1FF16" w14:textId="77777777" w:rsidTr="001E3B97">
        <w:tc>
          <w:tcPr>
            <w:tcW w:w="3828" w:type="dxa"/>
            <w:tcBorders>
              <w:top w:val="single" w:sz="4" w:space="0" w:color="000000"/>
              <w:left w:val="single" w:sz="4" w:space="0" w:color="000000"/>
              <w:bottom w:val="single" w:sz="4" w:space="0" w:color="000000"/>
              <w:right w:val="single" w:sz="4" w:space="0" w:color="000000"/>
            </w:tcBorders>
            <w:hideMark/>
          </w:tcPr>
          <w:p w14:paraId="4F12D27B" w14:textId="77777777" w:rsidR="00E633A1" w:rsidRPr="009F48B7" w:rsidRDefault="00E633A1" w:rsidP="00EF5EED">
            <w:pPr>
              <w:rPr>
                <w:i/>
                <w:kern w:val="1"/>
                <w:sz w:val="20"/>
                <w:szCs w:val="20"/>
                <w:lang w:bidi="lo-LA"/>
              </w:rPr>
            </w:pPr>
            <w:r w:rsidRPr="009F48B7">
              <w:rPr>
                <w:i/>
                <w:kern w:val="1"/>
                <w:sz w:val="20"/>
                <w:szCs w:val="20"/>
              </w:rPr>
              <w:t>Kriminogeninei situacijai</w:t>
            </w:r>
          </w:p>
        </w:tc>
        <w:tc>
          <w:tcPr>
            <w:tcW w:w="2693" w:type="dxa"/>
            <w:tcBorders>
              <w:top w:val="single" w:sz="4" w:space="0" w:color="000000"/>
              <w:left w:val="single" w:sz="4" w:space="0" w:color="000000"/>
              <w:bottom w:val="single" w:sz="4" w:space="0" w:color="000000"/>
              <w:right w:val="single" w:sz="4" w:space="0" w:color="000000"/>
            </w:tcBorders>
          </w:tcPr>
          <w:p w14:paraId="20219752" w14:textId="77777777" w:rsidR="00E633A1" w:rsidRPr="009F48B7" w:rsidRDefault="00E633A1" w:rsidP="00EF5EED">
            <w:pPr>
              <w:rPr>
                <w:i/>
                <w:kern w:val="1"/>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3B6E813" w14:textId="77777777" w:rsidR="00E633A1" w:rsidRPr="009F48B7" w:rsidRDefault="00E633A1" w:rsidP="00EF5EED">
            <w:pPr>
              <w:rPr>
                <w:i/>
                <w:kern w:val="1"/>
                <w:sz w:val="20"/>
                <w:szCs w:val="20"/>
                <w:lang w:bidi="lo-LA"/>
              </w:rPr>
            </w:pPr>
          </w:p>
        </w:tc>
      </w:tr>
      <w:tr w:rsidR="00E633A1" w:rsidRPr="009F48B7" w14:paraId="42F54138" w14:textId="77777777" w:rsidTr="001E3B97">
        <w:tc>
          <w:tcPr>
            <w:tcW w:w="3828" w:type="dxa"/>
            <w:tcBorders>
              <w:top w:val="single" w:sz="4" w:space="0" w:color="000000"/>
              <w:left w:val="single" w:sz="4" w:space="0" w:color="000000"/>
              <w:bottom w:val="single" w:sz="4" w:space="0" w:color="000000"/>
              <w:right w:val="single" w:sz="4" w:space="0" w:color="000000"/>
            </w:tcBorders>
            <w:hideMark/>
          </w:tcPr>
          <w:p w14:paraId="10D3D533" w14:textId="77777777" w:rsidR="00E633A1" w:rsidRPr="009F48B7" w:rsidRDefault="00E633A1" w:rsidP="00EF5EED">
            <w:pPr>
              <w:rPr>
                <w:i/>
                <w:kern w:val="1"/>
                <w:sz w:val="20"/>
                <w:szCs w:val="20"/>
                <w:lang w:bidi="lo-LA"/>
              </w:rPr>
            </w:pPr>
            <w:r w:rsidRPr="009F48B7">
              <w:rPr>
                <w:i/>
                <w:kern w:val="1"/>
                <w:sz w:val="20"/>
                <w:szCs w:val="20"/>
              </w:rPr>
              <w:t>Aplinkai</w:t>
            </w:r>
          </w:p>
        </w:tc>
        <w:tc>
          <w:tcPr>
            <w:tcW w:w="2693" w:type="dxa"/>
            <w:tcBorders>
              <w:top w:val="single" w:sz="4" w:space="0" w:color="000000"/>
              <w:left w:val="single" w:sz="4" w:space="0" w:color="000000"/>
              <w:bottom w:val="single" w:sz="4" w:space="0" w:color="000000"/>
              <w:right w:val="single" w:sz="4" w:space="0" w:color="000000"/>
            </w:tcBorders>
          </w:tcPr>
          <w:p w14:paraId="29A6AFB7" w14:textId="77777777" w:rsidR="00E633A1" w:rsidRPr="009F48B7" w:rsidRDefault="00E633A1" w:rsidP="00EF5EED">
            <w:pPr>
              <w:rPr>
                <w:i/>
                <w:kern w:val="1"/>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AAFBD11" w14:textId="77777777" w:rsidR="00E633A1" w:rsidRPr="009F48B7" w:rsidRDefault="00E633A1" w:rsidP="00EF5EED">
            <w:pPr>
              <w:rPr>
                <w:i/>
                <w:kern w:val="1"/>
                <w:sz w:val="20"/>
                <w:szCs w:val="20"/>
                <w:lang w:bidi="lo-LA"/>
              </w:rPr>
            </w:pPr>
          </w:p>
        </w:tc>
      </w:tr>
      <w:tr w:rsidR="00E633A1" w:rsidRPr="009F48B7" w14:paraId="02302666" w14:textId="77777777" w:rsidTr="001E3B97">
        <w:tc>
          <w:tcPr>
            <w:tcW w:w="3828" w:type="dxa"/>
            <w:tcBorders>
              <w:top w:val="single" w:sz="4" w:space="0" w:color="000000"/>
              <w:left w:val="single" w:sz="4" w:space="0" w:color="000000"/>
              <w:bottom w:val="single" w:sz="4" w:space="0" w:color="000000"/>
              <w:right w:val="single" w:sz="4" w:space="0" w:color="000000"/>
            </w:tcBorders>
            <w:hideMark/>
          </w:tcPr>
          <w:p w14:paraId="55D3C78D" w14:textId="77777777" w:rsidR="00E633A1" w:rsidRPr="009F48B7" w:rsidRDefault="00E633A1" w:rsidP="00EF5EED">
            <w:pPr>
              <w:rPr>
                <w:i/>
                <w:kern w:val="1"/>
                <w:sz w:val="20"/>
                <w:szCs w:val="20"/>
                <w:lang w:bidi="lo-LA"/>
              </w:rPr>
            </w:pPr>
            <w:r w:rsidRPr="009F48B7">
              <w:rPr>
                <w:i/>
                <w:kern w:val="1"/>
                <w:sz w:val="20"/>
                <w:szCs w:val="20"/>
              </w:rPr>
              <w:t>Administracinei naštai</w:t>
            </w:r>
          </w:p>
        </w:tc>
        <w:tc>
          <w:tcPr>
            <w:tcW w:w="2693" w:type="dxa"/>
            <w:tcBorders>
              <w:top w:val="single" w:sz="4" w:space="0" w:color="000000"/>
              <w:left w:val="single" w:sz="4" w:space="0" w:color="000000"/>
              <w:bottom w:val="single" w:sz="4" w:space="0" w:color="000000"/>
              <w:right w:val="single" w:sz="4" w:space="0" w:color="000000"/>
            </w:tcBorders>
          </w:tcPr>
          <w:p w14:paraId="389B4DA1" w14:textId="77777777" w:rsidR="00E633A1" w:rsidRPr="009F48B7" w:rsidRDefault="00E633A1" w:rsidP="00EF5EED">
            <w:pPr>
              <w:rPr>
                <w:i/>
                <w:kern w:val="1"/>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8FDF86C" w14:textId="77777777" w:rsidR="00E633A1" w:rsidRPr="009F48B7" w:rsidRDefault="00E633A1" w:rsidP="00EF5EED">
            <w:pPr>
              <w:rPr>
                <w:i/>
                <w:kern w:val="1"/>
                <w:sz w:val="20"/>
                <w:szCs w:val="20"/>
                <w:lang w:bidi="lo-LA"/>
              </w:rPr>
            </w:pPr>
          </w:p>
        </w:tc>
      </w:tr>
      <w:tr w:rsidR="00E633A1" w:rsidRPr="009F48B7" w14:paraId="14DBCBB2" w14:textId="77777777" w:rsidTr="001E3B97">
        <w:tc>
          <w:tcPr>
            <w:tcW w:w="3828" w:type="dxa"/>
            <w:tcBorders>
              <w:top w:val="single" w:sz="4" w:space="0" w:color="000000"/>
              <w:left w:val="single" w:sz="4" w:space="0" w:color="000000"/>
              <w:bottom w:val="single" w:sz="4" w:space="0" w:color="000000"/>
              <w:right w:val="single" w:sz="4" w:space="0" w:color="000000"/>
            </w:tcBorders>
            <w:hideMark/>
          </w:tcPr>
          <w:p w14:paraId="0C3DBE65" w14:textId="77777777" w:rsidR="00E633A1" w:rsidRPr="009F48B7" w:rsidRDefault="00E633A1" w:rsidP="00EF5EED">
            <w:pPr>
              <w:rPr>
                <w:i/>
                <w:kern w:val="1"/>
                <w:sz w:val="20"/>
                <w:szCs w:val="20"/>
                <w:lang w:bidi="lo-LA"/>
              </w:rPr>
            </w:pPr>
            <w:r w:rsidRPr="009F48B7">
              <w:rPr>
                <w:i/>
                <w:kern w:val="1"/>
                <w:sz w:val="20"/>
                <w:szCs w:val="20"/>
              </w:rPr>
              <w:t>Regiono plėtrai</w:t>
            </w:r>
          </w:p>
        </w:tc>
        <w:tc>
          <w:tcPr>
            <w:tcW w:w="2693" w:type="dxa"/>
            <w:tcBorders>
              <w:top w:val="single" w:sz="4" w:space="0" w:color="000000"/>
              <w:left w:val="single" w:sz="4" w:space="0" w:color="000000"/>
              <w:bottom w:val="single" w:sz="4" w:space="0" w:color="000000"/>
              <w:right w:val="single" w:sz="4" w:space="0" w:color="000000"/>
            </w:tcBorders>
          </w:tcPr>
          <w:p w14:paraId="37BDEA08" w14:textId="77777777" w:rsidR="00E633A1" w:rsidRPr="009F48B7" w:rsidRDefault="00E633A1" w:rsidP="00EF5EED">
            <w:pPr>
              <w:rPr>
                <w:i/>
                <w:kern w:val="1"/>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14:paraId="0BC80E5D" w14:textId="77777777" w:rsidR="00E633A1" w:rsidRPr="009F48B7" w:rsidRDefault="00E633A1" w:rsidP="00EF5EED">
            <w:pPr>
              <w:rPr>
                <w:i/>
                <w:kern w:val="1"/>
                <w:sz w:val="20"/>
                <w:szCs w:val="20"/>
                <w:lang w:bidi="lo-LA"/>
              </w:rPr>
            </w:pPr>
          </w:p>
        </w:tc>
      </w:tr>
      <w:tr w:rsidR="00E633A1" w:rsidRPr="009F48B7" w14:paraId="7FAF7851" w14:textId="77777777" w:rsidTr="001E3B97">
        <w:tc>
          <w:tcPr>
            <w:tcW w:w="3828" w:type="dxa"/>
            <w:tcBorders>
              <w:top w:val="single" w:sz="4" w:space="0" w:color="000000"/>
              <w:left w:val="single" w:sz="4" w:space="0" w:color="000000"/>
              <w:bottom w:val="single" w:sz="4" w:space="0" w:color="000000"/>
              <w:right w:val="single" w:sz="4" w:space="0" w:color="000000"/>
            </w:tcBorders>
            <w:hideMark/>
          </w:tcPr>
          <w:p w14:paraId="4F223132" w14:textId="77777777" w:rsidR="00E633A1" w:rsidRPr="009F48B7" w:rsidRDefault="00E633A1" w:rsidP="00EF5EED">
            <w:pPr>
              <w:rPr>
                <w:i/>
                <w:kern w:val="1"/>
                <w:sz w:val="20"/>
                <w:szCs w:val="20"/>
                <w:lang w:bidi="lo-LA"/>
              </w:rPr>
            </w:pPr>
            <w:r w:rsidRPr="009F48B7">
              <w:rPr>
                <w:i/>
                <w:kern w:val="1"/>
                <w:sz w:val="20"/>
                <w:szCs w:val="20"/>
              </w:rPr>
              <w:t>Kitoms sritims, asmenims ar jų grupėms</w:t>
            </w:r>
          </w:p>
        </w:tc>
        <w:tc>
          <w:tcPr>
            <w:tcW w:w="2693" w:type="dxa"/>
            <w:tcBorders>
              <w:top w:val="single" w:sz="4" w:space="0" w:color="000000"/>
              <w:left w:val="single" w:sz="4" w:space="0" w:color="000000"/>
              <w:bottom w:val="single" w:sz="4" w:space="0" w:color="000000"/>
              <w:right w:val="single" w:sz="4" w:space="0" w:color="000000"/>
            </w:tcBorders>
          </w:tcPr>
          <w:p w14:paraId="6DC63A94" w14:textId="77777777" w:rsidR="00E633A1" w:rsidRPr="009F48B7" w:rsidRDefault="00E633A1" w:rsidP="00EF5EED">
            <w:pPr>
              <w:rPr>
                <w:i/>
                <w:kern w:val="1"/>
                <w:sz w:val="20"/>
                <w:szCs w:val="20"/>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8C243CA" w14:textId="77777777" w:rsidR="00E633A1" w:rsidRPr="009F48B7" w:rsidRDefault="00E633A1" w:rsidP="00EF5EED">
            <w:pPr>
              <w:rPr>
                <w:i/>
                <w:kern w:val="1"/>
                <w:sz w:val="20"/>
                <w:szCs w:val="20"/>
                <w:lang w:bidi="lo-LA"/>
              </w:rPr>
            </w:pPr>
          </w:p>
        </w:tc>
      </w:tr>
    </w:tbl>
    <w:p w14:paraId="09A7B6C3" w14:textId="77777777" w:rsidR="00E633A1" w:rsidRPr="009F48B7" w:rsidRDefault="00E633A1" w:rsidP="00E633A1">
      <w:pPr>
        <w:jc w:val="both"/>
        <w:rPr>
          <w:color w:val="FF0000"/>
          <w:kern w:val="1"/>
          <w:lang w:bidi="lo-LA"/>
        </w:rPr>
      </w:pPr>
    </w:p>
    <w:p w14:paraId="021B09B8" w14:textId="77777777" w:rsidR="00E633A1" w:rsidRPr="009F48B7" w:rsidRDefault="00E633A1" w:rsidP="00E633A1">
      <w:pPr>
        <w:jc w:val="both"/>
        <w:rPr>
          <w:kern w:val="1"/>
          <w:sz w:val="20"/>
          <w:szCs w:val="20"/>
          <w:lang w:bidi="lo-LA"/>
        </w:rPr>
      </w:pPr>
      <w:r w:rsidRPr="009F48B7">
        <w:rPr>
          <w:b/>
          <w:kern w:val="1"/>
          <w:sz w:val="20"/>
          <w:szCs w:val="20"/>
          <w:lang w:bidi="lo-LA"/>
        </w:rPr>
        <w:t>*</w:t>
      </w:r>
      <w:r w:rsidRPr="009F48B7">
        <w:rPr>
          <w:bCs/>
          <w:kern w:val="1"/>
          <w:sz w:val="20"/>
          <w:szCs w:val="20"/>
        </w:rPr>
        <w:t xml:space="preserve"> Numatomo teisinio reguliavimo poveikio vertinimas atliekamas r</w:t>
      </w:r>
      <w:r w:rsidRPr="009F48B7">
        <w:rPr>
          <w:kern w:val="1"/>
          <w:sz w:val="20"/>
          <w:szCs w:val="20"/>
        </w:rPr>
        <w:t>engiant teisės akto, kuriuo numatoma reglamentuoti iki tol nereglamentuotus santykius, taip pat kuriuo iš esmės keičiamas teisinis reguliavimas, projektą.</w:t>
      </w:r>
      <w:r w:rsidRPr="009F48B7">
        <w:rPr>
          <w:kern w:val="1"/>
          <w:sz w:val="20"/>
          <w:szCs w:val="20"/>
          <w:lang w:bidi="lo-LA"/>
        </w:rPr>
        <w:t xml:space="preserve"> </w:t>
      </w:r>
      <w:r w:rsidRPr="009F48B7">
        <w:rPr>
          <w:kern w:val="1"/>
          <w:sz w:val="20"/>
          <w:szCs w:val="20"/>
        </w:rPr>
        <w:t>Atliekant vertinimą, nustatomas galimas teigiamas ir neigiamas poveikis to teisinio reguliavimo sričiai, asmenims ar jų grupėms, kuriems bus taikomas numatomas teisinis reguliavimas.</w:t>
      </w:r>
    </w:p>
    <w:p w14:paraId="62509821" w14:textId="77777777" w:rsidR="00E633A1" w:rsidRPr="009F48B7" w:rsidRDefault="00E633A1" w:rsidP="00E633A1">
      <w:pPr>
        <w:rPr>
          <w:kern w:val="1"/>
          <w:lang w:eastAsia="lt-LT"/>
        </w:rPr>
      </w:pPr>
    </w:p>
    <w:p w14:paraId="33244C90" w14:textId="14987FCE" w:rsidR="00E633A1" w:rsidRPr="009F48B7" w:rsidRDefault="00E633A1" w:rsidP="00E633A1">
      <w:pPr>
        <w:jc w:val="both"/>
        <w:rPr>
          <w:kern w:val="1"/>
        </w:rPr>
      </w:pPr>
      <w:r w:rsidRPr="009F48B7">
        <w:rPr>
          <w:kern w:val="1"/>
        </w:rPr>
        <w:tab/>
      </w:r>
      <w:r w:rsidRPr="009F48B7">
        <w:rPr>
          <w:kern w:val="1"/>
        </w:rPr>
        <w:tab/>
      </w:r>
      <w:r w:rsidRPr="009F48B7">
        <w:rPr>
          <w:kern w:val="1"/>
        </w:rPr>
        <w:tab/>
      </w:r>
    </w:p>
    <w:p w14:paraId="129A0F2D" w14:textId="77777777" w:rsidR="00E633A1" w:rsidRPr="009F48B7" w:rsidRDefault="00E633A1" w:rsidP="00E633A1">
      <w:pPr>
        <w:jc w:val="both"/>
        <w:rPr>
          <w:kern w:val="1"/>
        </w:rPr>
      </w:pPr>
      <w:r w:rsidRPr="009F48B7">
        <w:rPr>
          <w:kern w:val="1"/>
        </w:rPr>
        <w:t xml:space="preserve">  </w:t>
      </w:r>
    </w:p>
    <w:p w14:paraId="3B44E32D" w14:textId="77777777" w:rsidR="00E633A1" w:rsidRPr="009F48B7" w:rsidRDefault="00E633A1" w:rsidP="00E633A1">
      <w:r w:rsidRPr="009F48B7">
        <w:rPr>
          <w:kern w:val="1"/>
        </w:rPr>
        <w:t>Strateginio planavimo ir investicijų skyriaus vedėja</w:t>
      </w:r>
      <w:r w:rsidRPr="009F48B7">
        <w:rPr>
          <w:kern w:val="1"/>
        </w:rPr>
        <w:tab/>
        <w:t xml:space="preserve">            </w:t>
      </w:r>
      <w:r w:rsidRPr="009F48B7">
        <w:rPr>
          <w:kern w:val="1"/>
        </w:rPr>
        <w:tab/>
        <w:t xml:space="preserve">              Kristina Kemešienė</w:t>
      </w:r>
    </w:p>
    <w:p w14:paraId="5CCC072B" w14:textId="77777777" w:rsidR="00DA5712" w:rsidRPr="009F48B7" w:rsidRDefault="00DA5712" w:rsidP="000A6105"/>
    <w:sectPr w:rsidR="00DA5712" w:rsidRPr="009F48B7" w:rsidSect="009F48B7">
      <w:pgSz w:w="11906" w:h="16838"/>
      <w:pgMar w:top="1134" w:right="567"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EB82F" w14:textId="77777777" w:rsidR="00231369" w:rsidRDefault="00231369" w:rsidP="008208A7">
      <w:r>
        <w:separator/>
      </w:r>
    </w:p>
  </w:endnote>
  <w:endnote w:type="continuationSeparator" w:id="0">
    <w:p w14:paraId="0EB43519" w14:textId="77777777" w:rsidR="00231369" w:rsidRDefault="00231369" w:rsidP="00820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4E9A0" w14:textId="77777777" w:rsidR="00231369" w:rsidRDefault="00231369" w:rsidP="008208A7">
      <w:r>
        <w:separator/>
      </w:r>
    </w:p>
  </w:footnote>
  <w:footnote w:type="continuationSeparator" w:id="0">
    <w:p w14:paraId="7AEAE9D6" w14:textId="77777777" w:rsidR="00231369" w:rsidRDefault="00231369" w:rsidP="008208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06DB"/>
    <w:multiLevelType w:val="hybridMultilevel"/>
    <w:tmpl w:val="61BE41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A27C9"/>
    <w:multiLevelType w:val="hybridMultilevel"/>
    <w:tmpl w:val="FB3E20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965B13"/>
    <w:multiLevelType w:val="hybridMultilevel"/>
    <w:tmpl w:val="2B327DCC"/>
    <w:lvl w:ilvl="0" w:tplc="168A2552">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15:restartNumberingAfterBreak="0">
    <w:nsid w:val="1050078A"/>
    <w:multiLevelType w:val="hybridMultilevel"/>
    <w:tmpl w:val="12DE3C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6222E5"/>
    <w:multiLevelType w:val="hybridMultilevel"/>
    <w:tmpl w:val="E8B2A2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12051"/>
    <w:multiLevelType w:val="hybridMultilevel"/>
    <w:tmpl w:val="4FC823C0"/>
    <w:lvl w:ilvl="0" w:tplc="F2FA23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F9472A"/>
    <w:multiLevelType w:val="hybridMultilevel"/>
    <w:tmpl w:val="C1B26898"/>
    <w:lvl w:ilvl="0" w:tplc="0427000D">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7" w15:restartNumberingAfterBreak="0">
    <w:nsid w:val="20E23BF1"/>
    <w:multiLevelType w:val="hybridMultilevel"/>
    <w:tmpl w:val="9392D61C"/>
    <w:lvl w:ilvl="0" w:tplc="68ECB2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2D459B3"/>
    <w:multiLevelType w:val="hybridMultilevel"/>
    <w:tmpl w:val="A01E2E3C"/>
    <w:lvl w:ilvl="0" w:tplc="694CFAF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F650F67"/>
    <w:multiLevelType w:val="hybridMultilevel"/>
    <w:tmpl w:val="D99496F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0C0631C"/>
    <w:multiLevelType w:val="hybridMultilevel"/>
    <w:tmpl w:val="EA405546"/>
    <w:lvl w:ilvl="0" w:tplc="F3A45A78">
      <w:start w:val="1"/>
      <w:numFmt w:val="bullet"/>
      <w:lvlText w:val="•"/>
      <w:lvlJc w:val="left"/>
      <w:pPr>
        <w:tabs>
          <w:tab w:val="num" w:pos="720"/>
        </w:tabs>
        <w:ind w:left="720" w:hanging="360"/>
      </w:pPr>
      <w:rPr>
        <w:rFonts w:ascii="Arial" w:hAnsi="Arial" w:hint="default"/>
      </w:rPr>
    </w:lvl>
    <w:lvl w:ilvl="1" w:tplc="18503A0E" w:tentative="1">
      <w:start w:val="1"/>
      <w:numFmt w:val="bullet"/>
      <w:lvlText w:val="•"/>
      <w:lvlJc w:val="left"/>
      <w:pPr>
        <w:tabs>
          <w:tab w:val="num" w:pos="1440"/>
        </w:tabs>
        <w:ind w:left="1440" w:hanging="360"/>
      </w:pPr>
      <w:rPr>
        <w:rFonts w:ascii="Arial" w:hAnsi="Arial" w:hint="default"/>
      </w:rPr>
    </w:lvl>
    <w:lvl w:ilvl="2" w:tplc="AEA45780" w:tentative="1">
      <w:start w:val="1"/>
      <w:numFmt w:val="bullet"/>
      <w:lvlText w:val="•"/>
      <w:lvlJc w:val="left"/>
      <w:pPr>
        <w:tabs>
          <w:tab w:val="num" w:pos="2160"/>
        </w:tabs>
        <w:ind w:left="2160" w:hanging="360"/>
      </w:pPr>
      <w:rPr>
        <w:rFonts w:ascii="Arial" w:hAnsi="Arial" w:hint="default"/>
      </w:rPr>
    </w:lvl>
    <w:lvl w:ilvl="3" w:tplc="2F24E818" w:tentative="1">
      <w:start w:val="1"/>
      <w:numFmt w:val="bullet"/>
      <w:lvlText w:val="•"/>
      <w:lvlJc w:val="left"/>
      <w:pPr>
        <w:tabs>
          <w:tab w:val="num" w:pos="2880"/>
        </w:tabs>
        <w:ind w:left="2880" w:hanging="360"/>
      </w:pPr>
      <w:rPr>
        <w:rFonts w:ascii="Arial" w:hAnsi="Arial" w:hint="default"/>
      </w:rPr>
    </w:lvl>
    <w:lvl w:ilvl="4" w:tplc="A6EC5086" w:tentative="1">
      <w:start w:val="1"/>
      <w:numFmt w:val="bullet"/>
      <w:lvlText w:val="•"/>
      <w:lvlJc w:val="left"/>
      <w:pPr>
        <w:tabs>
          <w:tab w:val="num" w:pos="3600"/>
        </w:tabs>
        <w:ind w:left="3600" w:hanging="360"/>
      </w:pPr>
      <w:rPr>
        <w:rFonts w:ascii="Arial" w:hAnsi="Arial" w:hint="default"/>
      </w:rPr>
    </w:lvl>
    <w:lvl w:ilvl="5" w:tplc="B232BDC0" w:tentative="1">
      <w:start w:val="1"/>
      <w:numFmt w:val="bullet"/>
      <w:lvlText w:val="•"/>
      <w:lvlJc w:val="left"/>
      <w:pPr>
        <w:tabs>
          <w:tab w:val="num" w:pos="4320"/>
        </w:tabs>
        <w:ind w:left="4320" w:hanging="360"/>
      </w:pPr>
      <w:rPr>
        <w:rFonts w:ascii="Arial" w:hAnsi="Arial" w:hint="default"/>
      </w:rPr>
    </w:lvl>
    <w:lvl w:ilvl="6" w:tplc="126C0510" w:tentative="1">
      <w:start w:val="1"/>
      <w:numFmt w:val="bullet"/>
      <w:lvlText w:val="•"/>
      <w:lvlJc w:val="left"/>
      <w:pPr>
        <w:tabs>
          <w:tab w:val="num" w:pos="5040"/>
        </w:tabs>
        <w:ind w:left="5040" w:hanging="360"/>
      </w:pPr>
      <w:rPr>
        <w:rFonts w:ascii="Arial" w:hAnsi="Arial" w:hint="default"/>
      </w:rPr>
    </w:lvl>
    <w:lvl w:ilvl="7" w:tplc="B316D8F8" w:tentative="1">
      <w:start w:val="1"/>
      <w:numFmt w:val="bullet"/>
      <w:lvlText w:val="•"/>
      <w:lvlJc w:val="left"/>
      <w:pPr>
        <w:tabs>
          <w:tab w:val="num" w:pos="5760"/>
        </w:tabs>
        <w:ind w:left="5760" w:hanging="360"/>
      </w:pPr>
      <w:rPr>
        <w:rFonts w:ascii="Arial" w:hAnsi="Arial" w:hint="default"/>
      </w:rPr>
    </w:lvl>
    <w:lvl w:ilvl="8" w:tplc="4F2E29D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60A5320"/>
    <w:multiLevelType w:val="hybridMultilevel"/>
    <w:tmpl w:val="977030A8"/>
    <w:lvl w:ilvl="0" w:tplc="68ECB288">
      <w:start w:val="1"/>
      <w:numFmt w:val="decimal"/>
      <w:lvlText w:val="%1."/>
      <w:lvlJc w:val="left"/>
      <w:pPr>
        <w:ind w:left="36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2" w15:restartNumberingAfterBreak="0">
    <w:nsid w:val="74D97CE9"/>
    <w:multiLevelType w:val="hybridMultilevel"/>
    <w:tmpl w:val="BAB406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62096F"/>
    <w:multiLevelType w:val="hybridMultilevel"/>
    <w:tmpl w:val="D03407C6"/>
    <w:lvl w:ilvl="0" w:tplc="6F322B4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num w:numId="1" w16cid:durableId="430048824">
    <w:abstractNumId w:val="8"/>
  </w:num>
  <w:num w:numId="2" w16cid:durableId="1623463128">
    <w:abstractNumId w:val="7"/>
  </w:num>
  <w:num w:numId="3" w16cid:durableId="426730388">
    <w:abstractNumId w:val="11"/>
  </w:num>
  <w:num w:numId="4" w16cid:durableId="492064512">
    <w:abstractNumId w:val="10"/>
  </w:num>
  <w:num w:numId="5" w16cid:durableId="898323023">
    <w:abstractNumId w:val="1"/>
  </w:num>
  <w:num w:numId="6" w16cid:durableId="2132627168">
    <w:abstractNumId w:val="3"/>
  </w:num>
  <w:num w:numId="7" w16cid:durableId="857936687">
    <w:abstractNumId w:val="6"/>
  </w:num>
  <w:num w:numId="8" w16cid:durableId="827134102">
    <w:abstractNumId w:val="12"/>
  </w:num>
  <w:num w:numId="9" w16cid:durableId="2093306578">
    <w:abstractNumId w:val="4"/>
  </w:num>
  <w:num w:numId="10" w16cid:durableId="835345028">
    <w:abstractNumId w:val="13"/>
  </w:num>
  <w:num w:numId="11" w16cid:durableId="711926325">
    <w:abstractNumId w:val="2"/>
  </w:num>
  <w:num w:numId="12" w16cid:durableId="1837844203">
    <w:abstractNumId w:val="5"/>
  </w:num>
  <w:num w:numId="13" w16cid:durableId="9081509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90298814">
    <w:abstractNumId w:val="9"/>
  </w:num>
  <w:num w:numId="15" w16cid:durableId="232401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04C"/>
    <w:rsid w:val="00000655"/>
    <w:rsid w:val="0001311F"/>
    <w:rsid w:val="000142CE"/>
    <w:rsid w:val="00015CC1"/>
    <w:rsid w:val="000208E9"/>
    <w:rsid w:val="0002716D"/>
    <w:rsid w:val="000275B2"/>
    <w:rsid w:val="0003057A"/>
    <w:rsid w:val="00031671"/>
    <w:rsid w:val="00032429"/>
    <w:rsid w:val="00032777"/>
    <w:rsid w:val="00040A6B"/>
    <w:rsid w:val="000539D1"/>
    <w:rsid w:val="000547EF"/>
    <w:rsid w:val="000610D8"/>
    <w:rsid w:val="000669BA"/>
    <w:rsid w:val="00072434"/>
    <w:rsid w:val="0008390B"/>
    <w:rsid w:val="00092017"/>
    <w:rsid w:val="000961DB"/>
    <w:rsid w:val="000A6105"/>
    <w:rsid w:val="000B3862"/>
    <w:rsid w:val="000B6802"/>
    <w:rsid w:val="000B7D44"/>
    <w:rsid w:val="000D1A4D"/>
    <w:rsid w:val="000F3B26"/>
    <w:rsid w:val="000F65E0"/>
    <w:rsid w:val="00105139"/>
    <w:rsid w:val="00113745"/>
    <w:rsid w:val="00122C74"/>
    <w:rsid w:val="00123867"/>
    <w:rsid w:val="00134533"/>
    <w:rsid w:val="00136BE7"/>
    <w:rsid w:val="00150886"/>
    <w:rsid w:val="0015213F"/>
    <w:rsid w:val="001575A6"/>
    <w:rsid w:val="00157B0D"/>
    <w:rsid w:val="00170BF8"/>
    <w:rsid w:val="00173B95"/>
    <w:rsid w:val="00175891"/>
    <w:rsid w:val="00177A6B"/>
    <w:rsid w:val="00182429"/>
    <w:rsid w:val="0019267D"/>
    <w:rsid w:val="001A2C11"/>
    <w:rsid w:val="001B063A"/>
    <w:rsid w:val="001B1A06"/>
    <w:rsid w:val="001B6D29"/>
    <w:rsid w:val="001D2EC1"/>
    <w:rsid w:val="001E3B97"/>
    <w:rsid w:val="001E53E6"/>
    <w:rsid w:val="001F3FAC"/>
    <w:rsid w:val="00201734"/>
    <w:rsid w:val="00204C4F"/>
    <w:rsid w:val="002067FA"/>
    <w:rsid w:val="00207BD9"/>
    <w:rsid w:val="00211C92"/>
    <w:rsid w:val="002124AF"/>
    <w:rsid w:val="0022079F"/>
    <w:rsid w:val="00221D51"/>
    <w:rsid w:val="00231369"/>
    <w:rsid w:val="00232E27"/>
    <w:rsid w:val="00240600"/>
    <w:rsid w:val="00243A62"/>
    <w:rsid w:val="00243F6E"/>
    <w:rsid w:val="00245BAA"/>
    <w:rsid w:val="00245D9C"/>
    <w:rsid w:val="0025108B"/>
    <w:rsid w:val="00264E42"/>
    <w:rsid w:val="00264F36"/>
    <w:rsid w:val="00265D57"/>
    <w:rsid w:val="00270769"/>
    <w:rsid w:val="00272E60"/>
    <w:rsid w:val="0027400A"/>
    <w:rsid w:val="0027482E"/>
    <w:rsid w:val="00276746"/>
    <w:rsid w:val="002828E0"/>
    <w:rsid w:val="00286DD1"/>
    <w:rsid w:val="00293141"/>
    <w:rsid w:val="00294EEE"/>
    <w:rsid w:val="002A27EC"/>
    <w:rsid w:val="002B3C2D"/>
    <w:rsid w:val="002C4D9D"/>
    <w:rsid w:val="002D4EFE"/>
    <w:rsid w:val="002F33AB"/>
    <w:rsid w:val="002F4186"/>
    <w:rsid w:val="0030604C"/>
    <w:rsid w:val="00311CBF"/>
    <w:rsid w:val="00316DF0"/>
    <w:rsid w:val="0032072B"/>
    <w:rsid w:val="00325FE1"/>
    <w:rsid w:val="003263B2"/>
    <w:rsid w:val="003308D1"/>
    <w:rsid w:val="00341432"/>
    <w:rsid w:val="00361479"/>
    <w:rsid w:val="00365ABD"/>
    <w:rsid w:val="00366666"/>
    <w:rsid w:val="00373915"/>
    <w:rsid w:val="00381DAD"/>
    <w:rsid w:val="00386E32"/>
    <w:rsid w:val="00390B08"/>
    <w:rsid w:val="0039682F"/>
    <w:rsid w:val="003A6DC7"/>
    <w:rsid w:val="003C02D6"/>
    <w:rsid w:val="003C03F0"/>
    <w:rsid w:val="003D44CB"/>
    <w:rsid w:val="003D7A78"/>
    <w:rsid w:val="003E3F5F"/>
    <w:rsid w:val="003E4B16"/>
    <w:rsid w:val="003E605A"/>
    <w:rsid w:val="00403733"/>
    <w:rsid w:val="004108E4"/>
    <w:rsid w:val="00416ADD"/>
    <w:rsid w:val="0042073F"/>
    <w:rsid w:val="004268D3"/>
    <w:rsid w:val="00430335"/>
    <w:rsid w:val="00434444"/>
    <w:rsid w:val="0043728A"/>
    <w:rsid w:val="00441C56"/>
    <w:rsid w:val="00443093"/>
    <w:rsid w:val="00443DCD"/>
    <w:rsid w:val="00443F35"/>
    <w:rsid w:val="00446A6D"/>
    <w:rsid w:val="004619CE"/>
    <w:rsid w:val="004664A9"/>
    <w:rsid w:val="00467266"/>
    <w:rsid w:val="0048531F"/>
    <w:rsid w:val="0048761D"/>
    <w:rsid w:val="00496388"/>
    <w:rsid w:val="004A05D1"/>
    <w:rsid w:val="004B0A16"/>
    <w:rsid w:val="004D4C8C"/>
    <w:rsid w:val="004E012C"/>
    <w:rsid w:val="004E2811"/>
    <w:rsid w:val="004F04C1"/>
    <w:rsid w:val="004F1532"/>
    <w:rsid w:val="00501354"/>
    <w:rsid w:val="00510604"/>
    <w:rsid w:val="00513930"/>
    <w:rsid w:val="00514D14"/>
    <w:rsid w:val="005201E4"/>
    <w:rsid w:val="00526F99"/>
    <w:rsid w:val="005305A5"/>
    <w:rsid w:val="00540971"/>
    <w:rsid w:val="0054228E"/>
    <w:rsid w:val="005547F5"/>
    <w:rsid w:val="005651BF"/>
    <w:rsid w:val="0056679A"/>
    <w:rsid w:val="00570DB0"/>
    <w:rsid w:val="0059354D"/>
    <w:rsid w:val="005954BA"/>
    <w:rsid w:val="005A7ED3"/>
    <w:rsid w:val="005B2B6D"/>
    <w:rsid w:val="005D41E6"/>
    <w:rsid w:val="005E4285"/>
    <w:rsid w:val="005F4BD9"/>
    <w:rsid w:val="005F71F6"/>
    <w:rsid w:val="00611405"/>
    <w:rsid w:val="006142B9"/>
    <w:rsid w:val="00616917"/>
    <w:rsid w:val="00627B7E"/>
    <w:rsid w:val="00634858"/>
    <w:rsid w:val="00644C1B"/>
    <w:rsid w:val="00660325"/>
    <w:rsid w:val="00666887"/>
    <w:rsid w:val="00675320"/>
    <w:rsid w:val="0068466E"/>
    <w:rsid w:val="006919E2"/>
    <w:rsid w:val="006A2716"/>
    <w:rsid w:val="006B004A"/>
    <w:rsid w:val="006B0FBF"/>
    <w:rsid w:val="006D1E17"/>
    <w:rsid w:val="006E008E"/>
    <w:rsid w:val="006E7CA0"/>
    <w:rsid w:val="006F1454"/>
    <w:rsid w:val="006F1586"/>
    <w:rsid w:val="006F64D9"/>
    <w:rsid w:val="00700B24"/>
    <w:rsid w:val="007313B9"/>
    <w:rsid w:val="00733994"/>
    <w:rsid w:val="00735703"/>
    <w:rsid w:val="00736C31"/>
    <w:rsid w:val="00745D09"/>
    <w:rsid w:val="0075554A"/>
    <w:rsid w:val="00760512"/>
    <w:rsid w:val="00765806"/>
    <w:rsid w:val="00765C4C"/>
    <w:rsid w:val="007731D8"/>
    <w:rsid w:val="00773E1D"/>
    <w:rsid w:val="00776299"/>
    <w:rsid w:val="0078625A"/>
    <w:rsid w:val="00796219"/>
    <w:rsid w:val="007A157C"/>
    <w:rsid w:val="007A4702"/>
    <w:rsid w:val="007B2147"/>
    <w:rsid w:val="007C0629"/>
    <w:rsid w:val="007D11BB"/>
    <w:rsid w:val="007E5890"/>
    <w:rsid w:val="007E7BF3"/>
    <w:rsid w:val="007F1DD9"/>
    <w:rsid w:val="007F2581"/>
    <w:rsid w:val="008005EF"/>
    <w:rsid w:val="00800F1B"/>
    <w:rsid w:val="00803A2F"/>
    <w:rsid w:val="00807E6A"/>
    <w:rsid w:val="008208A7"/>
    <w:rsid w:val="008258AA"/>
    <w:rsid w:val="00827685"/>
    <w:rsid w:val="008332F2"/>
    <w:rsid w:val="00837347"/>
    <w:rsid w:val="00841926"/>
    <w:rsid w:val="00844C30"/>
    <w:rsid w:val="008502D1"/>
    <w:rsid w:val="00852CE9"/>
    <w:rsid w:val="008533E7"/>
    <w:rsid w:val="00857646"/>
    <w:rsid w:val="00860A2F"/>
    <w:rsid w:val="008610EB"/>
    <w:rsid w:val="0086137B"/>
    <w:rsid w:val="008621F9"/>
    <w:rsid w:val="00866597"/>
    <w:rsid w:val="0087403A"/>
    <w:rsid w:val="00874D6C"/>
    <w:rsid w:val="00876F8E"/>
    <w:rsid w:val="00893BC7"/>
    <w:rsid w:val="00893EEC"/>
    <w:rsid w:val="008A1292"/>
    <w:rsid w:val="008A26EF"/>
    <w:rsid w:val="008A3E32"/>
    <w:rsid w:val="008A5428"/>
    <w:rsid w:val="008C17F4"/>
    <w:rsid w:val="008C6401"/>
    <w:rsid w:val="008D325D"/>
    <w:rsid w:val="008E0256"/>
    <w:rsid w:val="008E1817"/>
    <w:rsid w:val="008F13F7"/>
    <w:rsid w:val="008F3325"/>
    <w:rsid w:val="008F464A"/>
    <w:rsid w:val="008F5987"/>
    <w:rsid w:val="008F71E6"/>
    <w:rsid w:val="009004DE"/>
    <w:rsid w:val="00900F4D"/>
    <w:rsid w:val="0090627A"/>
    <w:rsid w:val="00915DDD"/>
    <w:rsid w:val="00921D33"/>
    <w:rsid w:val="00922923"/>
    <w:rsid w:val="00931A4A"/>
    <w:rsid w:val="00932C4C"/>
    <w:rsid w:val="009557AC"/>
    <w:rsid w:val="00955A15"/>
    <w:rsid w:val="009626C3"/>
    <w:rsid w:val="009642D5"/>
    <w:rsid w:val="0097277A"/>
    <w:rsid w:val="00977C28"/>
    <w:rsid w:val="00991837"/>
    <w:rsid w:val="009B4CD8"/>
    <w:rsid w:val="009B65A0"/>
    <w:rsid w:val="009C36C6"/>
    <w:rsid w:val="009D688D"/>
    <w:rsid w:val="009E7C6E"/>
    <w:rsid w:val="009F3256"/>
    <w:rsid w:val="009F48B7"/>
    <w:rsid w:val="00A01B51"/>
    <w:rsid w:val="00A02A07"/>
    <w:rsid w:val="00A10DEF"/>
    <w:rsid w:val="00A14692"/>
    <w:rsid w:val="00A14E43"/>
    <w:rsid w:val="00A174E4"/>
    <w:rsid w:val="00A37B4E"/>
    <w:rsid w:val="00A4150A"/>
    <w:rsid w:val="00A41B0B"/>
    <w:rsid w:val="00A50ED6"/>
    <w:rsid w:val="00A678C9"/>
    <w:rsid w:val="00A724CA"/>
    <w:rsid w:val="00A735B8"/>
    <w:rsid w:val="00A756BD"/>
    <w:rsid w:val="00A81B73"/>
    <w:rsid w:val="00A8461E"/>
    <w:rsid w:val="00A94109"/>
    <w:rsid w:val="00AA5581"/>
    <w:rsid w:val="00AC6A79"/>
    <w:rsid w:val="00AD60DF"/>
    <w:rsid w:val="00AE29DB"/>
    <w:rsid w:val="00AF473F"/>
    <w:rsid w:val="00AF5F5E"/>
    <w:rsid w:val="00B016FA"/>
    <w:rsid w:val="00B05FFC"/>
    <w:rsid w:val="00B12427"/>
    <w:rsid w:val="00B1444A"/>
    <w:rsid w:val="00B21A29"/>
    <w:rsid w:val="00B4563C"/>
    <w:rsid w:val="00B569D8"/>
    <w:rsid w:val="00B56BE2"/>
    <w:rsid w:val="00B64985"/>
    <w:rsid w:val="00B666C2"/>
    <w:rsid w:val="00B6789E"/>
    <w:rsid w:val="00B72C93"/>
    <w:rsid w:val="00B74710"/>
    <w:rsid w:val="00B83B39"/>
    <w:rsid w:val="00B8577D"/>
    <w:rsid w:val="00B87785"/>
    <w:rsid w:val="00B91544"/>
    <w:rsid w:val="00B92E10"/>
    <w:rsid w:val="00B93036"/>
    <w:rsid w:val="00BA195B"/>
    <w:rsid w:val="00BA39B7"/>
    <w:rsid w:val="00BA54A2"/>
    <w:rsid w:val="00BB03CC"/>
    <w:rsid w:val="00BB076A"/>
    <w:rsid w:val="00BB1620"/>
    <w:rsid w:val="00BC1638"/>
    <w:rsid w:val="00BC4C84"/>
    <w:rsid w:val="00BC5F65"/>
    <w:rsid w:val="00BE0254"/>
    <w:rsid w:val="00BE6FA5"/>
    <w:rsid w:val="00BE7D28"/>
    <w:rsid w:val="00BF0067"/>
    <w:rsid w:val="00C1131E"/>
    <w:rsid w:val="00C1276F"/>
    <w:rsid w:val="00C155B0"/>
    <w:rsid w:val="00C24E85"/>
    <w:rsid w:val="00C352AD"/>
    <w:rsid w:val="00C40F50"/>
    <w:rsid w:val="00C41DD9"/>
    <w:rsid w:val="00C432D7"/>
    <w:rsid w:val="00C56275"/>
    <w:rsid w:val="00C577FF"/>
    <w:rsid w:val="00C6362F"/>
    <w:rsid w:val="00C72677"/>
    <w:rsid w:val="00C966EE"/>
    <w:rsid w:val="00CA1B1F"/>
    <w:rsid w:val="00CA3B35"/>
    <w:rsid w:val="00CA636B"/>
    <w:rsid w:val="00CB0485"/>
    <w:rsid w:val="00CC47CF"/>
    <w:rsid w:val="00CC5DAC"/>
    <w:rsid w:val="00CC75E8"/>
    <w:rsid w:val="00CD167A"/>
    <w:rsid w:val="00CE1093"/>
    <w:rsid w:val="00CE15F9"/>
    <w:rsid w:val="00CE5ECD"/>
    <w:rsid w:val="00CF288B"/>
    <w:rsid w:val="00CF6C13"/>
    <w:rsid w:val="00D16715"/>
    <w:rsid w:val="00D20F48"/>
    <w:rsid w:val="00D215B1"/>
    <w:rsid w:val="00D228EB"/>
    <w:rsid w:val="00D27FAF"/>
    <w:rsid w:val="00D316F5"/>
    <w:rsid w:val="00D33A75"/>
    <w:rsid w:val="00D33ADA"/>
    <w:rsid w:val="00D43CBB"/>
    <w:rsid w:val="00D4481D"/>
    <w:rsid w:val="00D54F76"/>
    <w:rsid w:val="00D55264"/>
    <w:rsid w:val="00D6156E"/>
    <w:rsid w:val="00D66D70"/>
    <w:rsid w:val="00D7035F"/>
    <w:rsid w:val="00D777F3"/>
    <w:rsid w:val="00D864AD"/>
    <w:rsid w:val="00D87890"/>
    <w:rsid w:val="00D955C4"/>
    <w:rsid w:val="00D96CCB"/>
    <w:rsid w:val="00DA1991"/>
    <w:rsid w:val="00DA1EF8"/>
    <w:rsid w:val="00DA37B0"/>
    <w:rsid w:val="00DA4089"/>
    <w:rsid w:val="00DA5712"/>
    <w:rsid w:val="00DB3DEF"/>
    <w:rsid w:val="00DB617B"/>
    <w:rsid w:val="00DC46C8"/>
    <w:rsid w:val="00DC7F5D"/>
    <w:rsid w:val="00DD3F46"/>
    <w:rsid w:val="00DE6FB2"/>
    <w:rsid w:val="00DF12F0"/>
    <w:rsid w:val="00DF43E4"/>
    <w:rsid w:val="00DF7650"/>
    <w:rsid w:val="00E01DA3"/>
    <w:rsid w:val="00E17D93"/>
    <w:rsid w:val="00E30619"/>
    <w:rsid w:val="00E34ACE"/>
    <w:rsid w:val="00E43A97"/>
    <w:rsid w:val="00E43D46"/>
    <w:rsid w:val="00E44203"/>
    <w:rsid w:val="00E52DEA"/>
    <w:rsid w:val="00E55CB0"/>
    <w:rsid w:val="00E62385"/>
    <w:rsid w:val="00E633A1"/>
    <w:rsid w:val="00E65155"/>
    <w:rsid w:val="00E71EAF"/>
    <w:rsid w:val="00E866AD"/>
    <w:rsid w:val="00E92CD6"/>
    <w:rsid w:val="00E94932"/>
    <w:rsid w:val="00E975FA"/>
    <w:rsid w:val="00EB1566"/>
    <w:rsid w:val="00EB6078"/>
    <w:rsid w:val="00EB7BFD"/>
    <w:rsid w:val="00ED677D"/>
    <w:rsid w:val="00ED6DF0"/>
    <w:rsid w:val="00EE370F"/>
    <w:rsid w:val="00EE3717"/>
    <w:rsid w:val="00EE3A57"/>
    <w:rsid w:val="00EE771A"/>
    <w:rsid w:val="00EF12E0"/>
    <w:rsid w:val="00EF1D62"/>
    <w:rsid w:val="00EF5EED"/>
    <w:rsid w:val="00F016CA"/>
    <w:rsid w:val="00F4389A"/>
    <w:rsid w:val="00F46D7C"/>
    <w:rsid w:val="00F47EEB"/>
    <w:rsid w:val="00F54541"/>
    <w:rsid w:val="00F56A34"/>
    <w:rsid w:val="00F60662"/>
    <w:rsid w:val="00F64E2D"/>
    <w:rsid w:val="00F657B7"/>
    <w:rsid w:val="00F80766"/>
    <w:rsid w:val="00F87449"/>
    <w:rsid w:val="00F87A11"/>
    <w:rsid w:val="00F904C0"/>
    <w:rsid w:val="00F93803"/>
    <w:rsid w:val="00F94167"/>
    <w:rsid w:val="00FB03E5"/>
    <w:rsid w:val="00FB6516"/>
    <w:rsid w:val="00FB6EC0"/>
    <w:rsid w:val="00FC114B"/>
    <w:rsid w:val="00FC395F"/>
    <w:rsid w:val="00FD100A"/>
    <w:rsid w:val="00FD1C78"/>
    <w:rsid w:val="00FD4E80"/>
    <w:rsid w:val="00FD6406"/>
    <w:rsid w:val="00FE7D0D"/>
    <w:rsid w:val="00FF2E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EAD858"/>
  <w15:chartTrackingRefBased/>
  <w15:docId w15:val="{2F74F296-AB5D-4CF1-9E0C-08095C55B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ind w:left="720" w:firstLine="720"/>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
    <w:basedOn w:val="prastasis"/>
    <w:link w:val="PaantratDiagrama"/>
    <w:qFormat/>
    <w:pPr>
      <w:jc w:val="center"/>
    </w:pPr>
    <w:rPr>
      <w:b/>
      <w:szCs w:val="20"/>
      <w:lang w:eastAsia="zh-CN"/>
    </w:rPr>
  </w:style>
  <w:style w:type="paragraph" w:styleId="Pavadinimas">
    <w:name w:val="Title"/>
    <w:basedOn w:val="prastasis"/>
    <w:qFormat/>
    <w:pPr>
      <w:jc w:val="center"/>
    </w:pPr>
    <w:rPr>
      <w:b/>
      <w:bCs/>
    </w:rPr>
  </w:style>
  <w:style w:type="paragraph" w:styleId="Pagrindiniotekstotrauka2">
    <w:name w:val="Body Text Indent 2"/>
    <w:basedOn w:val="prastasis"/>
    <w:semiHidden/>
    <w:pPr>
      <w:spacing w:after="120" w:line="480" w:lineRule="auto"/>
      <w:ind w:left="283"/>
    </w:pPr>
    <w:rPr>
      <w:sz w:val="20"/>
      <w:szCs w:val="20"/>
      <w:lang w:val="en-US" w:eastAsia="en-GB"/>
    </w:rPr>
  </w:style>
  <w:style w:type="paragraph" w:customStyle="1" w:styleId="Textbeitrauku">
    <w:name w:val="Text_be itrauku"/>
    <w:basedOn w:val="prastasis"/>
    <w:pPr>
      <w:jc w:val="both"/>
    </w:pPr>
    <w:rPr>
      <w:szCs w:val="22"/>
    </w:rPr>
  </w:style>
  <w:style w:type="paragraph" w:styleId="Pagrindiniotekstotrauka">
    <w:name w:val="Body Text Indent"/>
    <w:basedOn w:val="prastasis"/>
    <w:semiHidden/>
    <w:pPr>
      <w:ind w:firstLine="720"/>
      <w:jc w:val="both"/>
    </w:pPr>
  </w:style>
  <w:style w:type="character" w:styleId="Hipersaitas">
    <w:name w:val="Hyperlink"/>
    <w:semiHidden/>
    <w:rPr>
      <w:color w:val="0000FF"/>
      <w:u w:val="single"/>
    </w:rPr>
  </w:style>
  <w:style w:type="paragraph" w:customStyle="1" w:styleId="DiagramaDiagrama1CharCharCharCharDiagramaCharDiagramaChar">
    <w:name w:val="Diagrama Diagrama1 Char Char Char Char Diagrama Char Diagrama Char"/>
    <w:basedOn w:val="prastasis"/>
    <w:rsid w:val="0056679A"/>
    <w:pPr>
      <w:spacing w:after="160" w:line="240" w:lineRule="exact"/>
    </w:pPr>
    <w:rPr>
      <w:rFonts w:ascii="Tahoma" w:hAnsi="Tahoma"/>
      <w:sz w:val="20"/>
      <w:szCs w:val="20"/>
      <w:lang w:val="en-US"/>
    </w:rPr>
  </w:style>
  <w:style w:type="paragraph" w:styleId="Debesliotekstas">
    <w:name w:val="Balloon Text"/>
    <w:basedOn w:val="prastasis"/>
    <w:semiHidden/>
    <w:rsid w:val="00150886"/>
    <w:rPr>
      <w:rFonts w:ascii="Tahoma" w:hAnsi="Tahoma" w:cs="Tahoma"/>
      <w:sz w:val="16"/>
      <w:szCs w:val="16"/>
    </w:rPr>
  </w:style>
  <w:style w:type="character" w:styleId="Komentaronuoroda">
    <w:name w:val="annotation reference"/>
    <w:semiHidden/>
    <w:rsid w:val="00A8461E"/>
    <w:rPr>
      <w:sz w:val="16"/>
      <w:szCs w:val="16"/>
    </w:rPr>
  </w:style>
  <w:style w:type="paragraph" w:styleId="Komentarotekstas">
    <w:name w:val="annotation text"/>
    <w:basedOn w:val="prastasis"/>
    <w:semiHidden/>
    <w:rsid w:val="00A8461E"/>
    <w:rPr>
      <w:sz w:val="20"/>
      <w:szCs w:val="20"/>
    </w:rPr>
  </w:style>
  <w:style w:type="paragraph" w:styleId="Komentarotema">
    <w:name w:val="annotation subject"/>
    <w:basedOn w:val="Komentarotekstas"/>
    <w:next w:val="Komentarotekstas"/>
    <w:semiHidden/>
    <w:rsid w:val="00A8461E"/>
    <w:rPr>
      <w:b/>
      <w:bCs/>
    </w:rPr>
  </w:style>
  <w:style w:type="paragraph" w:customStyle="1" w:styleId="DiagramaDiagrama1CharCharChar">
    <w:name w:val="Diagrama Diagrama1 Char Char Char"/>
    <w:basedOn w:val="prastasis"/>
    <w:rsid w:val="008F71E6"/>
    <w:pPr>
      <w:spacing w:after="160" w:line="240" w:lineRule="exact"/>
    </w:pPr>
    <w:rPr>
      <w:rFonts w:ascii="Tahoma" w:hAnsi="Tahoma"/>
      <w:sz w:val="20"/>
      <w:szCs w:val="20"/>
      <w:lang w:val="en-US"/>
    </w:rPr>
  </w:style>
  <w:style w:type="character" w:customStyle="1" w:styleId="PaantratDiagrama">
    <w:name w:val="Paantraštė Diagrama"/>
    <w:aliases w:val=" Char Diagrama"/>
    <w:link w:val="Paantrat"/>
    <w:rsid w:val="005F4BD9"/>
    <w:rPr>
      <w:b/>
      <w:sz w:val="24"/>
      <w:lang w:eastAsia="zh-CN"/>
    </w:rPr>
  </w:style>
  <w:style w:type="paragraph" w:styleId="prastasiniatinklio">
    <w:name w:val="Normal (Web)"/>
    <w:basedOn w:val="prastasis"/>
    <w:uiPriority w:val="99"/>
    <w:unhideWhenUsed/>
    <w:rsid w:val="00E633A1"/>
    <w:pPr>
      <w:spacing w:before="100" w:beforeAutospacing="1" w:after="100" w:afterAutospacing="1"/>
    </w:pPr>
    <w:rPr>
      <w:rFonts w:eastAsia="Calibri"/>
      <w:lang w:eastAsia="lt-LT"/>
    </w:rPr>
  </w:style>
  <w:style w:type="table" w:styleId="Lentelstinklelis">
    <w:name w:val="Table Grid"/>
    <w:basedOn w:val="prastojilentel"/>
    <w:rsid w:val="00FB6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108E4"/>
    <w:pPr>
      <w:ind w:left="720"/>
    </w:pPr>
    <w:rPr>
      <w:rFonts w:ascii="Calibri" w:eastAsia="Calibri" w:hAnsi="Calibri"/>
      <w:sz w:val="22"/>
      <w:szCs w:val="22"/>
    </w:rPr>
  </w:style>
  <w:style w:type="paragraph" w:styleId="Antrats">
    <w:name w:val="header"/>
    <w:basedOn w:val="prastasis"/>
    <w:link w:val="AntratsDiagrama"/>
    <w:rsid w:val="008208A7"/>
    <w:pPr>
      <w:tabs>
        <w:tab w:val="center" w:pos="4819"/>
        <w:tab w:val="right" w:pos="9638"/>
      </w:tabs>
    </w:pPr>
  </w:style>
  <w:style w:type="character" w:customStyle="1" w:styleId="AntratsDiagrama">
    <w:name w:val="Antraštės Diagrama"/>
    <w:link w:val="Antrats"/>
    <w:rsid w:val="008208A7"/>
    <w:rPr>
      <w:sz w:val="24"/>
      <w:szCs w:val="24"/>
      <w:lang w:eastAsia="en-US"/>
    </w:rPr>
  </w:style>
  <w:style w:type="paragraph" w:styleId="Porat">
    <w:name w:val="footer"/>
    <w:basedOn w:val="prastasis"/>
    <w:link w:val="PoratDiagrama"/>
    <w:rsid w:val="008208A7"/>
    <w:pPr>
      <w:tabs>
        <w:tab w:val="center" w:pos="4819"/>
        <w:tab w:val="right" w:pos="9638"/>
      </w:tabs>
    </w:pPr>
  </w:style>
  <w:style w:type="character" w:customStyle="1" w:styleId="PoratDiagrama">
    <w:name w:val="Poraštė Diagrama"/>
    <w:link w:val="Porat"/>
    <w:rsid w:val="008208A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54368">
      <w:bodyDiv w:val="1"/>
      <w:marLeft w:val="0"/>
      <w:marRight w:val="0"/>
      <w:marTop w:val="0"/>
      <w:marBottom w:val="0"/>
      <w:divBdr>
        <w:top w:val="none" w:sz="0" w:space="0" w:color="auto"/>
        <w:left w:val="none" w:sz="0" w:space="0" w:color="auto"/>
        <w:bottom w:val="none" w:sz="0" w:space="0" w:color="auto"/>
        <w:right w:val="none" w:sz="0" w:space="0" w:color="auto"/>
      </w:divBdr>
    </w:div>
    <w:div w:id="262812241">
      <w:bodyDiv w:val="1"/>
      <w:marLeft w:val="0"/>
      <w:marRight w:val="0"/>
      <w:marTop w:val="0"/>
      <w:marBottom w:val="0"/>
      <w:divBdr>
        <w:top w:val="none" w:sz="0" w:space="0" w:color="auto"/>
        <w:left w:val="none" w:sz="0" w:space="0" w:color="auto"/>
        <w:bottom w:val="none" w:sz="0" w:space="0" w:color="auto"/>
        <w:right w:val="none" w:sz="0" w:space="0" w:color="auto"/>
      </w:divBdr>
    </w:div>
    <w:div w:id="345250172">
      <w:bodyDiv w:val="1"/>
      <w:marLeft w:val="0"/>
      <w:marRight w:val="0"/>
      <w:marTop w:val="0"/>
      <w:marBottom w:val="0"/>
      <w:divBdr>
        <w:top w:val="none" w:sz="0" w:space="0" w:color="auto"/>
        <w:left w:val="none" w:sz="0" w:space="0" w:color="auto"/>
        <w:bottom w:val="none" w:sz="0" w:space="0" w:color="auto"/>
        <w:right w:val="none" w:sz="0" w:space="0" w:color="auto"/>
      </w:divBdr>
    </w:div>
    <w:div w:id="674260181">
      <w:bodyDiv w:val="1"/>
      <w:marLeft w:val="0"/>
      <w:marRight w:val="0"/>
      <w:marTop w:val="0"/>
      <w:marBottom w:val="0"/>
      <w:divBdr>
        <w:top w:val="none" w:sz="0" w:space="0" w:color="auto"/>
        <w:left w:val="none" w:sz="0" w:space="0" w:color="auto"/>
        <w:bottom w:val="none" w:sz="0" w:space="0" w:color="auto"/>
        <w:right w:val="none" w:sz="0" w:space="0" w:color="auto"/>
      </w:divBdr>
    </w:div>
    <w:div w:id="775559348">
      <w:bodyDiv w:val="1"/>
      <w:marLeft w:val="0"/>
      <w:marRight w:val="0"/>
      <w:marTop w:val="0"/>
      <w:marBottom w:val="0"/>
      <w:divBdr>
        <w:top w:val="none" w:sz="0" w:space="0" w:color="auto"/>
        <w:left w:val="none" w:sz="0" w:space="0" w:color="auto"/>
        <w:bottom w:val="none" w:sz="0" w:space="0" w:color="auto"/>
        <w:right w:val="none" w:sz="0" w:space="0" w:color="auto"/>
      </w:divBdr>
    </w:div>
    <w:div w:id="948581766">
      <w:bodyDiv w:val="1"/>
      <w:marLeft w:val="0"/>
      <w:marRight w:val="0"/>
      <w:marTop w:val="0"/>
      <w:marBottom w:val="0"/>
      <w:divBdr>
        <w:top w:val="none" w:sz="0" w:space="0" w:color="auto"/>
        <w:left w:val="none" w:sz="0" w:space="0" w:color="auto"/>
        <w:bottom w:val="none" w:sz="0" w:space="0" w:color="auto"/>
        <w:right w:val="none" w:sz="0" w:space="0" w:color="auto"/>
      </w:divBdr>
    </w:div>
    <w:div w:id="1025712319">
      <w:bodyDiv w:val="1"/>
      <w:marLeft w:val="0"/>
      <w:marRight w:val="0"/>
      <w:marTop w:val="0"/>
      <w:marBottom w:val="0"/>
      <w:divBdr>
        <w:top w:val="none" w:sz="0" w:space="0" w:color="auto"/>
        <w:left w:val="none" w:sz="0" w:space="0" w:color="auto"/>
        <w:bottom w:val="none" w:sz="0" w:space="0" w:color="auto"/>
        <w:right w:val="none" w:sz="0" w:space="0" w:color="auto"/>
      </w:divBdr>
    </w:div>
    <w:div w:id="1146357882">
      <w:bodyDiv w:val="1"/>
      <w:marLeft w:val="0"/>
      <w:marRight w:val="0"/>
      <w:marTop w:val="0"/>
      <w:marBottom w:val="0"/>
      <w:divBdr>
        <w:top w:val="none" w:sz="0" w:space="0" w:color="auto"/>
        <w:left w:val="none" w:sz="0" w:space="0" w:color="auto"/>
        <w:bottom w:val="none" w:sz="0" w:space="0" w:color="auto"/>
        <w:right w:val="none" w:sz="0" w:space="0" w:color="auto"/>
      </w:divBdr>
    </w:div>
    <w:div w:id="1156142188">
      <w:bodyDiv w:val="1"/>
      <w:marLeft w:val="0"/>
      <w:marRight w:val="0"/>
      <w:marTop w:val="0"/>
      <w:marBottom w:val="0"/>
      <w:divBdr>
        <w:top w:val="none" w:sz="0" w:space="0" w:color="auto"/>
        <w:left w:val="none" w:sz="0" w:space="0" w:color="auto"/>
        <w:bottom w:val="none" w:sz="0" w:space="0" w:color="auto"/>
        <w:right w:val="none" w:sz="0" w:space="0" w:color="auto"/>
      </w:divBdr>
    </w:div>
    <w:div w:id="1274629668">
      <w:bodyDiv w:val="1"/>
      <w:marLeft w:val="0"/>
      <w:marRight w:val="0"/>
      <w:marTop w:val="0"/>
      <w:marBottom w:val="0"/>
      <w:divBdr>
        <w:top w:val="none" w:sz="0" w:space="0" w:color="auto"/>
        <w:left w:val="none" w:sz="0" w:space="0" w:color="auto"/>
        <w:bottom w:val="none" w:sz="0" w:space="0" w:color="auto"/>
        <w:right w:val="none" w:sz="0" w:space="0" w:color="auto"/>
      </w:divBdr>
    </w:div>
    <w:div w:id="1275286554">
      <w:bodyDiv w:val="1"/>
      <w:marLeft w:val="0"/>
      <w:marRight w:val="0"/>
      <w:marTop w:val="0"/>
      <w:marBottom w:val="0"/>
      <w:divBdr>
        <w:top w:val="none" w:sz="0" w:space="0" w:color="auto"/>
        <w:left w:val="none" w:sz="0" w:space="0" w:color="auto"/>
        <w:bottom w:val="none" w:sz="0" w:space="0" w:color="auto"/>
        <w:right w:val="none" w:sz="0" w:space="0" w:color="auto"/>
      </w:divBdr>
    </w:div>
    <w:div w:id="1761682905">
      <w:bodyDiv w:val="1"/>
      <w:marLeft w:val="0"/>
      <w:marRight w:val="0"/>
      <w:marTop w:val="0"/>
      <w:marBottom w:val="0"/>
      <w:divBdr>
        <w:top w:val="none" w:sz="0" w:space="0" w:color="auto"/>
        <w:left w:val="none" w:sz="0" w:space="0" w:color="auto"/>
        <w:bottom w:val="none" w:sz="0" w:space="0" w:color="auto"/>
        <w:right w:val="none" w:sz="0" w:space="0" w:color="auto"/>
      </w:divBdr>
      <w:divsChild>
        <w:div w:id="586039012">
          <w:marLeft w:val="547"/>
          <w:marRight w:val="0"/>
          <w:marTop w:val="125"/>
          <w:marBottom w:val="0"/>
          <w:divBdr>
            <w:top w:val="none" w:sz="0" w:space="0" w:color="auto"/>
            <w:left w:val="none" w:sz="0" w:space="0" w:color="auto"/>
            <w:bottom w:val="none" w:sz="0" w:space="0" w:color="auto"/>
            <w:right w:val="none" w:sz="0" w:space="0" w:color="auto"/>
          </w:divBdr>
        </w:div>
        <w:div w:id="1087457963">
          <w:marLeft w:val="547"/>
          <w:marRight w:val="0"/>
          <w:marTop w:val="125"/>
          <w:marBottom w:val="0"/>
          <w:divBdr>
            <w:top w:val="none" w:sz="0" w:space="0" w:color="auto"/>
            <w:left w:val="none" w:sz="0" w:space="0" w:color="auto"/>
            <w:bottom w:val="none" w:sz="0" w:space="0" w:color="auto"/>
            <w:right w:val="none" w:sz="0" w:space="0" w:color="auto"/>
          </w:divBdr>
        </w:div>
        <w:div w:id="1304115228">
          <w:marLeft w:val="547"/>
          <w:marRight w:val="0"/>
          <w:marTop w:val="125"/>
          <w:marBottom w:val="0"/>
          <w:divBdr>
            <w:top w:val="none" w:sz="0" w:space="0" w:color="auto"/>
            <w:left w:val="none" w:sz="0" w:space="0" w:color="auto"/>
            <w:bottom w:val="none" w:sz="0" w:space="0" w:color="auto"/>
            <w:right w:val="none" w:sz="0" w:space="0" w:color="auto"/>
          </w:divBdr>
        </w:div>
        <w:div w:id="1646277905">
          <w:marLeft w:val="547"/>
          <w:marRight w:val="0"/>
          <w:marTop w:val="125"/>
          <w:marBottom w:val="0"/>
          <w:divBdr>
            <w:top w:val="none" w:sz="0" w:space="0" w:color="auto"/>
            <w:left w:val="none" w:sz="0" w:space="0" w:color="auto"/>
            <w:bottom w:val="none" w:sz="0" w:space="0" w:color="auto"/>
            <w:right w:val="none" w:sz="0" w:space="0" w:color="auto"/>
          </w:divBdr>
        </w:div>
        <w:div w:id="1771856485">
          <w:marLeft w:val="547"/>
          <w:marRight w:val="0"/>
          <w:marTop w:val="125"/>
          <w:marBottom w:val="0"/>
          <w:divBdr>
            <w:top w:val="none" w:sz="0" w:space="0" w:color="auto"/>
            <w:left w:val="none" w:sz="0" w:space="0" w:color="auto"/>
            <w:bottom w:val="none" w:sz="0" w:space="0" w:color="auto"/>
            <w:right w:val="none" w:sz="0" w:space="0" w:color="auto"/>
          </w:divBdr>
        </w:div>
      </w:divsChild>
    </w:div>
    <w:div w:id="1853227257">
      <w:bodyDiv w:val="1"/>
      <w:marLeft w:val="0"/>
      <w:marRight w:val="0"/>
      <w:marTop w:val="0"/>
      <w:marBottom w:val="0"/>
      <w:divBdr>
        <w:top w:val="none" w:sz="0" w:space="0" w:color="auto"/>
        <w:left w:val="none" w:sz="0" w:space="0" w:color="auto"/>
        <w:bottom w:val="none" w:sz="0" w:space="0" w:color="auto"/>
        <w:right w:val="none" w:sz="0" w:space="0" w:color="auto"/>
      </w:divBdr>
    </w:div>
    <w:div w:id="1967158359">
      <w:bodyDiv w:val="1"/>
      <w:marLeft w:val="0"/>
      <w:marRight w:val="0"/>
      <w:marTop w:val="0"/>
      <w:marBottom w:val="0"/>
      <w:divBdr>
        <w:top w:val="none" w:sz="0" w:space="0" w:color="auto"/>
        <w:left w:val="none" w:sz="0" w:space="0" w:color="auto"/>
        <w:bottom w:val="none" w:sz="0" w:space="0" w:color="auto"/>
        <w:right w:val="none" w:sz="0" w:space="0" w:color="auto"/>
      </w:divBdr>
    </w:div>
    <w:div w:id="199737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4</Pages>
  <Words>5416</Words>
  <Characters>3088</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Kedainiu rajono savivaldybes administracija</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KRS-315-1</dc:creator>
  <cp:lastModifiedBy>Steponas Navajauskas</cp:lastModifiedBy>
  <cp:revision>21</cp:revision>
  <cp:lastPrinted>2025-09-12T09:49:00Z</cp:lastPrinted>
  <dcterms:created xsi:type="dcterms:W3CDTF">2024-09-16T13:28:00Z</dcterms:created>
  <dcterms:modified xsi:type="dcterms:W3CDTF">2025-09-16T12:18:00Z</dcterms:modified>
</cp:coreProperties>
</file>