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2236" w14:textId="77777777" w:rsidR="00040836" w:rsidRDefault="00000000" w:rsidP="006E70C7">
      <w:pPr>
        <w:ind w:left="3456" w:firstLine="4320"/>
        <w:jc w:val="right"/>
        <w:rPr>
          <w:b/>
        </w:rPr>
      </w:pPr>
      <w:r>
        <w:rPr>
          <w:b/>
        </w:rPr>
        <w:t>Projektas</w:t>
      </w:r>
    </w:p>
    <w:p w14:paraId="33EC462D" w14:textId="77777777" w:rsidR="006E70C7" w:rsidRDefault="006E70C7" w:rsidP="006E70C7">
      <w:pPr>
        <w:contextualSpacing/>
        <w:jc w:val="center"/>
        <w:rPr>
          <w:szCs w:val="24"/>
          <w:lang w:eastAsia="ar-SA"/>
        </w:rPr>
      </w:pPr>
      <w:r w:rsidRPr="00A25379">
        <w:rPr>
          <w:noProof/>
          <w:szCs w:val="24"/>
          <w:lang w:eastAsia="lt-LT"/>
        </w:rPr>
        <w:drawing>
          <wp:inline distT="0" distB="0" distL="0" distR="0" wp14:anchorId="0A4CFDA6" wp14:editId="46AB7FD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D3C8D3" w14:textId="77777777" w:rsidR="00040836" w:rsidRDefault="00040836">
      <w:pPr>
        <w:jc w:val="center"/>
        <w:rPr>
          <w:b/>
        </w:rPr>
      </w:pPr>
    </w:p>
    <w:p w14:paraId="48CC1FF7" w14:textId="77777777" w:rsidR="00040836" w:rsidRDefault="00000000">
      <w:pPr>
        <w:jc w:val="center"/>
        <w:rPr>
          <w:b/>
          <w:szCs w:val="24"/>
        </w:rPr>
      </w:pPr>
      <w:r>
        <w:rPr>
          <w:b/>
          <w:szCs w:val="24"/>
        </w:rPr>
        <w:t>KĖDAINIŲ RAJONO SAVIVALDYBĖS TARYBA</w:t>
      </w:r>
    </w:p>
    <w:p w14:paraId="59F33459" w14:textId="77777777" w:rsidR="00040836" w:rsidRDefault="00040836">
      <w:pPr>
        <w:jc w:val="center"/>
        <w:rPr>
          <w:b/>
          <w:szCs w:val="24"/>
          <w:lang w:eastAsia="lt-LT"/>
        </w:rPr>
      </w:pPr>
    </w:p>
    <w:p w14:paraId="622C3091" w14:textId="77777777" w:rsidR="00040836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54501CA4" w14:textId="77777777" w:rsidR="00040836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PRITARIMO UAB „KĖDBUSAS“ </w:t>
      </w:r>
    </w:p>
    <w:p w14:paraId="2067A3FC" w14:textId="77777777" w:rsidR="00040836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2026 METŲ MODERNIZAVIMO PLANUI</w:t>
      </w:r>
    </w:p>
    <w:p w14:paraId="430ABD4F" w14:textId="77777777" w:rsidR="00040836" w:rsidRDefault="00040836">
      <w:pPr>
        <w:jc w:val="center"/>
        <w:rPr>
          <w:b/>
          <w:szCs w:val="24"/>
          <w:lang w:eastAsia="lt-LT"/>
        </w:rPr>
      </w:pPr>
    </w:p>
    <w:p w14:paraId="6A121153" w14:textId="683E5228" w:rsidR="006E70C7" w:rsidRDefault="006E70C7" w:rsidP="006E70C7">
      <w:pPr>
        <w:contextualSpacing/>
        <w:jc w:val="center"/>
        <w:rPr>
          <w:szCs w:val="24"/>
        </w:rPr>
      </w:pPr>
      <w:bookmarkStart w:id="0" w:name="_Hlk208906582"/>
      <w:bookmarkStart w:id="1" w:name="_Hlk214265144"/>
      <w:bookmarkStart w:id="2" w:name="_Hlk207786081"/>
      <w:r w:rsidRPr="005844BB">
        <w:rPr>
          <w:szCs w:val="24"/>
        </w:rPr>
        <w:t xml:space="preserve">2025 m. </w:t>
      </w:r>
      <w:r>
        <w:rPr>
          <w:szCs w:val="24"/>
        </w:rPr>
        <w:t xml:space="preserve">lapkričio </w:t>
      </w:r>
      <w:r>
        <w:rPr>
          <w:szCs w:val="24"/>
        </w:rPr>
        <w:t>20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0"/>
      <w:r>
        <w:rPr>
          <w:szCs w:val="24"/>
        </w:rPr>
        <w:t>35</w:t>
      </w:r>
      <w:r>
        <w:rPr>
          <w:szCs w:val="24"/>
        </w:rPr>
        <w:t>8</w:t>
      </w:r>
      <w:r>
        <w:rPr>
          <w:szCs w:val="24"/>
        </w:rPr>
        <w:t xml:space="preserve">  </w:t>
      </w:r>
      <w:bookmarkEnd w:id="1"/>
    </w:p>
    <w:bookmarkEnd w:id="2"/>
    <w:p w14:paraId="3047FF48" w14:textId="77777777" w:rsidR="00040836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5193B15" w14:textId="77777777" w:rsidR="00040836" w:rsidRDefault="00040836">
      <w:pPr>
        <w:jc w:val="center"/>
        <w:rPr>
          <w:szCs w:val="24"/>
          <w:lang w:eastAsia="lt-LT"/>
        </w:rPr>
      </w:pPr>
    </w:p>
    <w:p w14:paraId="623A1014" w14:textId="1691969B" w:rsidR="006E70C7" w:rsidRDefault="00000000" w:rsidP="006E70C7">
      <w:pPr>
        <w:ind w:firstLine="851"/>
        <w:contextualSpacing/>
        <w:jc w:val="both"/>
        <w:rPr>
          <w:szCs w:val="24"/>
        </w:rPr>
      </w:pPr>
      <w:r>
        <w:rPr>
          <w:szCs w:val="24"/>
          <w:lang w:eastAsia="lt-LT"/>
        </w:rPr>
        <w:t>Vadovaudamasi Lietuvos Respublikos vietos savivaldos įstatymo 6 straipsnio 1, 22, 33 punktais ir 27 straipsnio 2 dalies 1, 10 punktais</w:t>
      </w:r>
      <w:r w:rsidR="006E70C7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Kėdainių rajono savivaldybės</w:t>
      </w:r>
      <w:r w:rsidR="006E70C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taryba </w:t>
      </w:r>
      <w:bookmarkStart w:id="3" w:name="_Hlk208906614"/>
      <w:bookmarkStart w:id="4" w:name="_Hlk207783678"/>
      <w:r w:rsidR="006E70C7" w:rsidRPr="00F43C53">
        <w:rPr>
          <w:spacing w:val="60"/>
          <w:szCs w:val="24"/>
        </w:rPr>
        <w:t>nusprendži</w:t>
      </w:r>
      <w:r w:rsidR="006E70C7">
        <w:rPr>
          <w:szCs w:val="24"/>
        </w:rPr>
        <w:t>a:</w:t>
      </w:r>
      <w:bookmarkEnd w:id="3"/>
    </w:p>
    <w:p w14:paraId="459CC979" w14:textId="72D43C13" w:rsidR="00040836" w:rsidRDefault="00000000" w:rsidP="006E70C7">
      <w:pPr>
        <w:pStyle w:val="Sraopastraipa"/>
        <w:numPr>
          <w:ilvl w:val="0"/>
          <w:numId w:val="2"/>
        </w:numPr>
        <w:jc w:val="both"/>
      </w:pPr>
      <w:bookmarkStart w:id="5" w:name="_Hlk214547164"/>
      <w:bookmarkEnd w:id="4"/>
      <w:r w:rsidRPr="006E70C7">
        <w:rPr>
          <w:szCs w:val="24"/>
          <w:lang w:eastAsia="lt-LT"/>
        </w:rPr>
        <w:t xml:space="preserve">Pritarti UAB „Kėdbusas“ 2026 metų modernizavimo planui </w:t>
      </w:r>
      <w:bookmarkEnd w:id="5"/>
      <w:r w:rsidRPr="006E70C7">
        <w:rPr>
          <w:szCs w:val="24"/>
          <w:lang w:eastAsia="lt-LT"/>
        </w:rPr>
        <w:t xml:space="preserve">(pridedama). </w:t>
      </w:r>
    </w:p>
    <w:p w14:paraId="2AEA0658" w14:textId="0DC2D9BB" w:rsidR="00040836" w:rsidRPr="006E70C7" w:rsidRDefault="00000000" w:rsidP="006E70C7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6E70C7">
        <w:rPr>
          <w:szCs w:val="24"/>
          <w:lang w:eastAsia="lt-LT"/>
        </w:rPr>
        <w:t>Pavesti Kėdainių rajono savivaldybės merui numatyti lėšas keleivių vežimo paslaugoms užtikrinti rengiant Kėdainių rajono savivaldybės strateginį veiklos planą ir Kėdainių rajono savivaldybės biudžetą.</w:t>
      </w:r>
    </w:p>
    <w:p w14:paraId="088F5C25" w14:textId="28579AF7" w:rsidR="006E70C7" w:rsidRPr="006E70C7" w:rsidRDefault="006E70C7" w:rsidP="006E70C7">
      <w:pPr>
        <w:pStyle w:val="Sraopastraipa"/>
        <w:numPr>
          <w:ilvl w:val="0"/>
          <w:numId w:val="2"/>
        </w:numPr>
        <w:jc w:val="both"/>
        <w:rPr>
          <w:szCs w:val="24"/>
        </w:rPr>
      </w:pPr>
      <w:bookmarkStart w:id="6" w:name="_Hlk208908407"/>
      <w:bookmarkStart w:id="7" w:name="_Hlk207783766"/>
      <w:r w:rsidRPr="006E70C7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8" w:name="_Hlk192164198"/>
      <w:r w:rsidRPr="006E70C7">
        <w:rPr>
          <w:szCs w:val="24"/>
        </w:rPr>
        <w:t>LT</w:t>
      </w:r>
      <w:bookmarkStart w:id="9" w:name="_Hlk202426898"/>
      <w:bookmarkEnd w:id="8"/>
      <w:r w:rsidRPr="006E70C7">
        <w:rPr>
          <w:szCs w:val="24"/>
        </w:rPr>
        <w:noBreakHyphen/>
      </w:r>
      <w:bookmarkEnd w:id="9"/>
      <w:r w:rsidRPr="006E70C7">
        <w:rPr>
          <w:szCs w:val="24"/>
        </w:rPr>
        <w:t xml:space="preserve">57288 Kėdainiai) Lietuvos Respublikos viešojo administravimo įstatymo nustatyta tvarka arba  </w:t>
      </w:r>
      <w:bookmarkStart w:id="10" w:name="_Hlk192162997"/>
      <w:r w:rsidRPr="006E70C7">
        <w:rPr>
          <w:szCs w:val="24"/>
        </w:rPr>
        <w:t xml:space="preserve">Lietuvos administracinių ginčų komisijos </w:t>
      </w:r>
      <w:bookmarkEnd w:id="10"/>
      <w:r w:rsidRPr="006E70C7">
        <w:rPr>
          <w:szCs w:val="24"/>
        </w:rPr>
        <w:t>Kauno apygardos skyriui (Laisvės al. 36, LT</w:t>
      </w:r>
      <w:r w:rsidRPr="006E70C7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6E70C7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6E70C7">
        <w:rPr>
          <w:szCs w:val="24"/>
        </w:rPr>
        <w:t xml:space="preserve"> arba adresu: Žygimantų g. 2, LT</w:t>
      </w:r>
      <w:r w:rsidRPr="006E70C7">
        <w:rPr>
          <w:szCs w:val="24"/>
        </w:rPr>
        <w:noBreakHyphen/>
        <w:t>01102 Vilnius, arba A. Mickevičiaus g. 8A, LT</w:t>
      </w:r>
      <w:r w:rsidRPr="006E70C7">
        <w:rPr>
          <w:szCs w:val="24"/>
        </w:rPr>
        <w:noBreakHyphen/>
        <w:t>44312 Kaunas, arba Galinio Pylimo g. 9, LT</w:t>
      </w:r>
      <w:r w:rsidRPr="006E70C7">
        <w:rPr>
          <w:szCs w:val="24"/>
        </w:rPr>
        <w:noBreakHyphen/>
        <w:t>91230 Klaipėda, arba Dvaro g. 80, LT</w:t>
      </w:r>
      <w:r w:rsidRPr="006E70C7">
        <w:rPr>
          <w:szCs w:val="24"/>
        </w:rPr>
        <w:noBreakHyphen/>
        <w:t>76298 Šiauliai, arba Respublikos g. 62, LT</w:t>
      </w:r>
      <w:r w:rsidRPr="006E70C7">
        <w:rPr>
          <w:szCs w:val="24"/>
        </w:rPr>
        <w:noBreakHyphen/>
        <w:t>35158 Panevėžys) Lietuvos Respublikos administracinių bylų teisenos įstatymo nustatyta tvarka.</w:t>
      </w:r>
      <w:bookmarkEnd w:id="6"/>
    </w:p>
    <w:bookmarkEnd w:id="7"/>
    <w:p w14:paraId="3EB464F5" w14:textId="7ECEAA04" w:rsidR="00040836" w:rsidRDefault="00040836" w:rsidP="006E70C7">
      <w:pPr>
        <w:ind w:firstLine="720"/>
        <w:jc w:val="both"/>
        <w:rPr>
          <w:szCs w:val="24"/>
          <w:lang w:eastAsia="lt-LT"/>
        </w:rPr>
      </w:pPr>
    </w:p>
    <w:p w14:paraId="2991CEAA" w14:textId="77777777" w:rsidR="00040836" w:rsidRDefault="00040836">
      <w:pPr>
        <w:jc w:val="both"/>
        <w:rPr>
          <w:szCs w:val="24"/>
        </w:rPr>
      </w:pPr>
    </w:p>
    <w:p w14:paraId="59B22A6B" w14:textId="77777777" w:rsidR="00040836" w:rsidRDefault="00000000">
      <w:pPr>
        <w:tabs>
          <w:tab w:val="left" w:pos="195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 w14:paraId="231242D5" w14:textId="77777777" w:rsidR="00040836" w:rsidRDefault="00040836">
      <w:pPr>
        <w:rPr>
          <w:szCs w:val="24"/>
          <w:lang w:eastAsia="lt-LT"/>
        </w:rPr>
      </w:pPr>
    </w:p>
    <w:p w14:paraId="0E9AB7CE" w14:textId="77777777" w:rsidR="00040836" w:rsidRDefault="00040836">
      <w:pPr>
        <w:rPr>
          <w:szCs w:val="24"/>
          <w:lang w:eastAsia="lt-LT"/>
        </w:rPr>
      </w:pPr>
    </w:p>
    <w:p w14:paraId="608A05D1" w14:textId="77777777" w:rsidR="00040836" w:rsidRDefault="00040836">
      <w:pPr>
        <w:rPr>
          <w:szCs w:val="24"/>
          <w:lang w:eastAsia="lt-LT"/>
        </w:rPr>
      </w:pPr>
    </w:p>
    <w:p w14:paraId="2A0E14AB" w14:textId="77777777" w:rsidR="00040836" w:rsidRDefault="00040836">
      <w:pPr>
        <w:rPr>
          <w:rFonts w:eastAsia="Calibri"/>
          <w:szCs w:val="24"/>
          <w:lang w:eastAsia="lt-LT"/>
        </w:rPr>
      </w:pPr>
    </w:p>
    <w:p w14:paraId="793BB39E" w14:textId="77777777" w:rsidR="00040836" w:rsidRDefault="00000000">
      <w:pPr>
        <w:ind w:firstLine="2188"/>
        <w:jc w:val="both"/>
        <w:rPr>
          <w:color w:val="000000"/>
          <w:szCs w:val="24"/>
          <w:lang w:eastAsia="lt-LT"/>
        </w:rPr>
      </w:pPr>
      <w:bookmarkStart w:id="11" w:name="part_7b55e3d045174f62b7317d8e93b5516d"/>
      <w:bookmarkEnd w:id="11"/>
      <w:r>
        <w:rPr>
          <w:color w:val="000000"/>
          <w:szCs w:val="24"/>
          <w:lang w:eastAsia="lt-LT"/>
        </w:rPr>
        <w:t> </w:t>
      </w:r>
    </w:p>
    <w:p w14:paraId="0266A9E4" w14:textId="77777777" w:rsidR="00040836" w:rsidRDefault="00040836">
      <w:pPr>
        <w:spacing w:after="200" w:line="276" w:lineRule="auto"/>
        <w:rPr>
          <w:color w:val="000000"/>
          <w:szCs w:val="24"/>
          <w:lang w:eastAsia="lt-LT"/>
        </w:rPr>
      </w:pPr>
    </w:p>
    <w:p w14:paraId="37903C1D" w14:textId="77777777" w:rsidR="00040836" w:rsidRDefault="00040836">
      <w:pPr>
        <w:spacing w:after="200" w:line="276" w:lineRule="auto"/>
        <w:rPr>
          <w:szCs w:val="24"/>
          <w:lang w:eastAsia="lt-LT"/>
        </w:rPr>
      </w:pPr>
    </w:p>
    <w:p w14:paraId="335EE56D" w14:textId="77777777" w:rsidR="00040836" w:rsidRDefault="00040836">
      <w:pPr>
        <w:spacing w:after="200" w:line="276" w:lineRule="auto"/>
        <w:rPr>
          <w:szCs w:val="24"/>
          <w:lang w:eastAsia="lt-LT"/>
        </w:rPr>
      </w:pPr>
    </w:p>
    <w:p w14:paraId="5A945C9D" w14:textId="77777777" w:rsidR="00040836" w:rsidRDefault="00040836">
      <w:pPr>
        <w:spacing w:after="200" w:line="276" w:lineRule="auto"/>
        <w:rPr>
          <w:szCs w:val="24"/>
          <w:lang w:eastAsia="lt-LT"/>
        </w:rPr>
      </w:pPr>
    </w:p>
    <w:p w14:paraId="08B1E0F5" w14:textId="77777777" w:rsidR="00040836" w:rsidRDefault="00040836">
      <w:pPr>
        <w:spacing w:after="200" w:line="276" w:lineRule="auto"/>
        <w:rPr>
          <w:szCs w:val="24"/>
          <w:lang w:eastAsia="lt-LT"/>
        </w:rPr>
      </w:pPr>
    </w:p>
    <w:p w14:paraId="2B0FDC64" w14:textId="77777777" w:rsidR="00040836" w:rsidRDefault="00040836">
      <w:pPr>
        <w:spacing w:after="200" w:line="276" w:lineRule="auto"/>
        <w:rPr>
          <w:szCs w:val="24"/>
          <w:lang w:eastAsia="lt-LT"/>
        </w:rPr>
      </w:pPr>
    </w:p>
    <w:p w14:paraId="1A86A373" w14:textId="77777777" w:rsidR="00040836" w:rsidRDefault="00040836">
      <w:pPr>
        <w:spacing w:after="200" w:line="276" w:lineRule="auto"/>
        <w:rPr>
          <w:szCs w:val="24"/>
          <w:lang w:eastAsia="lt-LT"/>
        </w:rPr>
      </w:pPr>
    </w:p>
    <w:p w14:paraId="3A393251" w14:textId="77777777" w:rsidR="00040836" w:rsidRDefault="00000000">
      <w:pPr>
        <w:spacing w:after="200" w:line="276" w:lineRule="auto"/>
      </w:pPr>
      <w:r>
        <w:rPr>
          <w:szCs w:val="24"/>
          <w:lang w:eastAsia="lt-LT"/>
        </w:rPr>
        <w:lastRenderedPageBreak/>
        <w:t>Kėdainių rajono savivaldybės tarybai</w:t>
      </w:r>
      <w:r>
        <w:rPr>
          <w:b/>
          <w:szCs w:val="24"/>
          <w:lang w:eastAsia="lt-LT"/>
        </w:rPr>
        <w:t xml:space="preserve">               </w:t>
      </w:r>
    </w:p>
    <w:p w14:paraId="3F4C2877" w14:textId="77777777" w:rsidR="00040836" w:rsidRDefault="00000000">
      <w:pPr>
        <w:jc w:val="center"/>
        <w:rPr>
          <w:b/>
          <w:spacing w:val="6"/>
          <w:szCs w:val="24"/>
          <w:lang w:eastAsia="lt-LT"/>
        </w:rPr>
      </w:pPr>
      <w:r>
        <w:rPr>
          <w:b/>
          <w:spacing w:val="6"/>
          <w:szCs w:val="24"/>
          <w:lang w:eastAsia="lt-LT"/>
        </w:rPr>
        <w:t>AIŠKINAMASIS RAŠTAS</w:t>
      </w:r>
    </w:p>
    <w:p w14:paraId="67B92B4E" w14:textId="77777777" w:rsidR="00040836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PRITARIMO UAB „KĖDBUSAS“ </w:t>
      </w:r>
    </w:p>
    <w:p w14:paraId="45BF3384" w14:textId="77777777" w:rsidR="00040836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2026 METŲ MODERNIZAVIMO PLANUI</w:t>
      </w:r>
    </w:p>
    <w:p w14:paraId="5328232C" w14:textId="77777777" w:rsidR="00040836" w:rsidRDefault="00040836">
      <w:pPr>
        <w:jc w:val="center"/>
        <w:rPr>
          <w:b/>
          <w:szCs w:val="24"/>
          <w:lang w:eastAsia="lt-LT"/>
        </w:rPr>
      </w:pPr>
    </w:p>
    <w:p w14:paraId="45DA2F1E" w14:textId="77777777" w:rsidR="00040836" w:rsidRDefault="00000000">
      <w:pPr>
        <w:jc w:val="center"/>
      </w:pPr>
      <w:r>
        <w:rPr>
          <w:spacing w:val="6"/>
          <w:szCs w:val="24"/>
          <w:lang w:eastAsia="lt-LT"/>
        </w:rPr>
        <w:t>2025 m. lapkričio 20 d.</w:t>
      </w:r>
    </w:p>
    <w:p w14:paraId="5E4E6D76" w14:textId="77777777" w:rsidR="00040836" w:rsidRDefault="00000000">
      <w:pPr>
        <w:jc w:val="center"/>
        <w:rPr>
          <w:spacing w:val="6"/>
          <w:szCs w:val="24"/>
          <w:lang w:eastAsia="lt-LT"/>
        </w:rPr>
      </w:pPr>
      <w:r>
        <w:rPr>
          <w:spacing w:val="6"/>
          <w:szCs w:val="24"/>
          <w:lang w:eastAsia="lt-LT"/>
        </w:rPr>
        <w:t>Kėdainiai</w:t>
      </w:r>
    </w:p>
    <w:p w14:paraId="01CA205D" w14:textId="77777777" w:rsidR="00040836" w:rsidRDefault="00040836">
      <w:pPr>
        <w:jc w:val="center"/>
        <w:rPr>
          <w:spacing w:val="6"/>
          <w:szCs w:val="24"/>
          <w:lang w:eastAsia="lt-LT"/>
        </w:rPr>
      </w:pPr>
    </w:p>
    <w:p w14:paraId="424830C1" w14:textId="77777777" w:rsidR="00040836" w:rsidRDefault="00000000">
      <w:pPr>
        <w:ind w:firstLine="720"/>
        <w:jc w:val="both"/>
        <w:rPr>
          <w:spacing w:val="6"/>
          <w:szCs w:val="24"/>
          <w:lang w:eastAsia="lt-LT"/>
        </w:rPr>
      </w:pPr>
      <w:r>
        <w:rPr>
          <w:b/>
          <w:spacing w:val="6"/>
          <w:szCs w:val="24"/>
          <w:lang w:eastAsia="lt-LT"/>
        </w:rPr>
        <w:t>Parengto sprendimo projekto tikslai</w:t>
      </w:r>
      <w:r>
        <w:rPr>
          <w:spacing w:val="6"/>
          <w:szCs w:val="24"/>
          <w:lang w:eastAsia="lt-LT"/>
        </w:rPr>
        <w:t xml:space="preserve">: </w:t>
      </w:r>
      <w:r>
        <w:rPr>
          <w:szCs w:val="24"/>
          <w:lang w:eastAsia="lt-LT"/>
        </w:rPr>
        <w:t>Pritarti UAB „Kėdbusas“ 2026 metų modernizavimo planui</w:t>
      </w:r>
      <w:r>
        <w:rPr>
          <w:rFonts w:eastAsia="Calibri"/>
          <w:spacing w:val="6"/>
          <w:szCs w:val="24"/>
        </w:rPr>
        <w:t xml:space="preserve"> </w:t>
      </w:r>
      <w:r>
        <w:rPr>
          <w:szCs w:val="24"/>
          <w:lang w:eastAsia="lt-LT"/>
        </w:rPr>
        <w:t xml:space="preserve">(toliau – Planas). </w:t>
      </w:r>
    </w:p>
    <w:p w14:paraId="668332F5" w14:textId="77777777" w:rsidR="00040836" w:rsidRDefault="00000000">
      <w:pPr>
        <w:ind w:firstLine="720"/>
        <w:jc w:val="both"/>
        <w:rPr>
          <w:spacing w:val="6"/>
          <w:szCs w:val="24"/>
          <w:lang w:eastAsia="lt-LT"/>
        </w:rPr>
      </w:pPr>
      <w:r>
        <w:rPr>
          <w:b/>
          <w:spacing w:val="6"/>
          <w:szCs w:val="24"/>
          <w:lang w:eastAsia="lt-LT"/>
        </w:rPr>
        <w:t xml:space="preserve">Sprendimo projekto esmė: </w:t>
      </w:r>
      <w:r>
        <w:rPr>
          <w:rFonts w:eastAsia="Calibri"/>
          <w:spacing w:val="6"/>
          <w:szCs w:val="24"/>
        </w:rPr>
        <w:t xml:space="preserve">UAB „Kėdbusas“ pateikė 2026 metų modernizavimo planą, kuriam 2025 m. lapkričio 4 d. pritarė UAB „Kėdbusas“ Valdyba (protokolas Nr. 19). Šiame Plane nurodytos </w:t>
      </w:r>
      <w:r>
        <w:rPr>
          <w:szCs w:val="24"/>
          <w:lang w:eastAsia="lt-LT"/>
        </w:rPr>
        <w:t>apie 3,43 mln. eurų lėšos</w:t>
      </w:r>
      <w:r>
        <w:rPr>
          <w:rFonts w:eastAsia="Calibri"/>
          <w:spacing w:val="6"/>
          <w:szCs w:val="24"/>
        </w:rPr>
        <w:t xml:space="preserve"> 2026−2031 m. reikalingos Kėdainių rajono savivaldybės 2024 m. spalio 31 d. atnaujintame lūkesčių rašte numatytoms priemonėms įgyvendinti.</w:t>
      </w:r>
    </w:p>
    <w:p w14:paraId="5246BF7D" w14:textId="77777777" w:rsidR="00040836" w:rsidRDefault="00000000">
      <w:pPr>
        <w:ind w:firstLine="709"/>
        <w:jc w:val="both"/>
        <w:rPr>
          <w:spacing w:val="6"/>
          <w:szCs w:val="24"/>
          <w:lang w:eastAsia="lt-LT"/>
        </w:rPr>
      </w:pPr>
      <w:r>
        <w:rPr>
          <w:b/>
          <w:szCs w:val="24"/>
          <w:lang w:eastAsia="lt-LT"/>
        </w:rPr>
        <w:t>Lėšų poreikis (jeigu sprendimui įgyvendinti reikalingos lėšos):</w:t>
      </w:r>
      <w:r>
        <w:rPr>
          <w:szCs w:val="24"/>
          <w:lang w:eastAsia="lt-LT"/>
        </w:rPr>
        <w:t xml:space="preserve"> −</w:t>
      </w:r>
    </w:p>
    <w:p w14:paraId="7F2CFA1E" w14:textId="77777777" w:rsidR="00040836" w:rsidRDefault="00000000">
      <w:pPr>
        <w:tabs>
          <w:tab w:val="left" w:pos="540"/>
        </w:tabs>
        <w:ind w:firstLine="709"/>
        <w:jc w:val="both"/>
        <w:rPr>
          <w:rFonts w:eastAsia="Calibri"/>
          <w:spacing w:val="6"/>
          <w:szCs w:val="24"/>
        </w:rPr>
      </w:pPr>
      <w:r>
        <w:rPr>
          <w:b/>
          <w:szCs w:val="24"/>
          <w:lang w:eastAsia="lt-LT"/>
        </w:rPr>
        <w:t xml:space="preserve">Laukiami rezultatai: </w:t>
      </w:r>
      <w:r>
        <w:rPr>
          <w:bCs/>
          <w:szCs w:val="24"/>
          <w:lang w:eastAsia="lt-LT"/>
        </w:rPr>
        <w:t>Užtikrinus sklandžią UAB „Kėdbusas“ veiklą, Kėdainių rajono savivaldybės gyventojams bus užtikrintas kokybiškas viešųjų paslaugų teikimas – keleivių vežimo vietiniais maršrutais organizavimas.</w:t>
      </w:r>
    </w:p>
    <w:p w14:paraId="7B845DAF" w14:textId="77777777" w:rsidR="00040836" w:rsidRDefault="00000000">
      <w:pPr>
        <w:tabs>
          <w:tab w:val="left" w:pos="540"/>
        </w:tabs>
        <w:ind w:firstLine="709"/>
        <w:jc w:val="both"/>
        <w:rPr>
          <w:rFonts w:eastAsia="Calibri"/>
          <w:b/>
          <w:bCs/>
          <w:spacing w:val="6"/>
          <w:szCs w:val="24"/>
          <w:lang w:eastAsia="lt-LT"/>
        </w:rPr>
      </w:pPr>
      <w:r>
        <w:rPr>
          <w:rFonts w:eastAsia="Calibri"/>
          <w:b/>
          <w:bCs/>
          <w:spacing w:val="6"/>
          <w:szCs w:val="24"/>
          <w:lang w:eastAsia="lt-LT"/>
        </w:rPr>
        <w:t>Numatomo teisinio reguliavimo poveikio vertinimas*</w:t>
      </w:r>
    </w:p>
    <w:tbl>
      <w:tblPr>
        <w:tblW w:w="893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3118"/>
        <w:gridCol w:w="2977"/>
        <w:gridCol w:w="2835"/>
      </w:tblGrid>
      <w:tr w:rsidR="00040836" w14:paraId="47EB0CEF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0E78" w14:textId="77777777" w:rsidR="00040836" w:rsidRDefault="00000000">
            <w:pPr>
              <w:rPr>
                <w:b/>
                <w:szCs w:val="24"/>
                <w:lang w:bidi="lo-LA"/>
              </w:rPr>
            </w:pPr>
            <w:r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C9DD" w14:textId="77777777" w:rsidR="00040836" w:rsidRDefault="00000000">
            <w:r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040836" w14:paraId="5BD4F0E3" w14:textId="77777777"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B03" w14:textId="77777777" w:rsidR="00040836" w:rsidRDefault="00040836">
            <w:pPr>
              <w:snapToGrid w:val="0"/>
              <w:rPr>
                <w:b/>
                <w:bCs/>
                <w:szCs w:val="24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31EE" w14:textId="77777777" w:rsidR="00040836" w:rsidRDefault="00000000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803" w14:textId="77777777" w:rsidR="00040836" w:rsidRDefault="00000000">
            <w:pPr>
              <w:rPr>
                <w:rFonts w:eastAsia="Calibri"/>
                <w:b/>
                <w:szCs w:val="24"/>
                <w:lang w:bidi="lo-LA"/>
              </w:rPr>
            </w:pPr>
            <w:r>
              <w:rPr>
                <w:b/>
                <w:szCs w:val="24"/>
                <w:lang w:eastAsia="lt-LT"/>
              </w:rPr>
              <w:t>Neigiamas poveikis</w:t>
            </w:r>
          </w:p>
          <w:p w14:paraId="0D9658AF" w14:textId="77777777" w:rsidR="00040836" w:rsidRDefault="00040836">
            <w:pPr>
              <w:rPr>
                <w:rFonts w:eastAsia="Calibri"/>
                <w:b/>
                <w:i/>
                <w:szCs w:val="24"/>
                <w:lang w:eastAsia="lt-LT" w:bidi="lo-LA"/>
              </w:rPr>
            </w:pPr>
          </w:p>
        </w:tc>
      </w:tr>
      <w:tr w:rsidR="00040836" w14:paraId="38B0759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20F7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57CE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5CE4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040836" w14:paraId="0E0C9DC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D941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8EEB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B454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040836" w14:paraId="29B9D55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D6E2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56EB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5C4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040836" w14:paraId="27BE9CD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1D5C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44B0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EDDA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040836" w14:paraId="781B7D2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9302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A8B0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5689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040836" w14:paraId="1AF2167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B0D6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D032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876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040836" w14:paraId="5F64A0A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65B1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1E8D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C99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040836" w14:paraId="521877F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A58C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A9E7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C5AF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040836" w14:paraId="68464D6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B4E0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9CF0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96F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  <w:tr w:rsidR="00040836" w14:paraId="69ED4D0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079E" w14:textId="77777777" w:rsidR="00040836" w:rsidRDefault="00000000">
            <w:pPr>
              <w:rPr>
                <w:i/>
                <w:szCs w:val="24"/>
                <w:lang w:bidi="lo-LA"/>
              </w:rPr>
            </w:pPr>
            <w:r>
              <w:rPr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1B00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0B5" w14:textId="77777777" w:rsidR="00040836" w:rsidRDefault="00040836">
            <w:pPr>
              <w:snapToGrid w:val="0"/>
              <w:rPr>
                <w:i/>
                <w:szCs w:val="24"/>
                <w:lang w:bidi="lo-LA"/>
              </w:rPr>
            </w:pPr>
          </w:p>
        </w:tc>
      </w:tr>
    </w:tbl>
    <w:p w14:paraId="4FB1C663" w14:textId="77777777" w:rsidR="00040836" w:rsidRDefault="00000000">
      <w:pPr>
        <w:jc w:val="both"/>
        <w:rPr>
          <w:szCs w:val="24"/>
          <w:lang w:eastAsia="lt-LT"/>
        </w:rPr>
      </w:pPr>
      <w:r>
        <w:rPr>
          <w:b/>
          <w:szCs w:val="24"/>
          <w:lang w:bidi="lo-LA"/>
        </w:rPr>
        <w:t>*</w:t>
      </w:r>
      <w:r>
        <w:rPr>
          <w:bCs/>
          <w:szCs w:val="24"/>
          <w:lang w:eastAsia="lt-LT"/>
        </w:rPr>
        <w:t xml:space="preserve"> Numatomo teisinio reguliavimo poveikio vertinimas atliekamas r</w:t>
      </w:r>
      <w:r>
        <w:rPr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Cs w:val="24"/>
          <w:lang w:bidi="lo-LA"/>
        </w:rPr>
        <w:t xml:space="preserve"> </w:t>
      </w:r>
      <w:r>
        <w:rPr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</w:t>
      </w:r>
      <w:r>
        <w:rPr>
          <w:sz w:val="22"/>
          <w:szCs w:val="22"/>
          <w:lang w:eastAsia="lt-LT"/>
        </w:rPr>
        <w:t>.</w:t>
      </w:r>
    </w:p>
    <w:p w14:paraId="7214A3F2" w14:textId="77777777" w:rsidR="00040836" w:rsidRDefault="00040836">
      <w:pPr>
        <w:spacing w:line="276" w:lineRule="auto"/>
        <w:jc w:val="both"/>
        <w:rPr>
          <w:szCs w:val="24"/>
          <w:lang w:eastAsia="lt-LT"/>
        </w:rPr>
      </w:pPr>
    </w:p>
    <w:p w14:paraId="1CE26EE8" w14:textId="77777777" w:rsidR="00040836" w:rsidRDefault="00040836">
      <w:pPr>
        <w:spacing w:line="276" w:lineRule="auto"/>
        <w:jc w:val="both"/>
        <w:rPr>
          <w:szCs w:val="24"/>
          <w:lang w:eastAsia="lt-LT"/>
        </w:rPr>
      </w:pPr>
    </w:p>
    <w:p w14:paraId="35C574A7" w14:textId="77777777" w:rsidR="00040836" w:rsidRDefault="00000000">
      <w:pPr>
        <w:spacing w:line="276" w:lineRule="auto"/>
        <w:jc w:val="both"/>
      </w:pPr>
      <w:r>
        <w:rPr>
          <w:szCs w:val="24"/>
          <w:lang w:eastAsia="lt-LT"/>
        </w:rPr>
        <w:t>Biudžeto</w:t>
      </w:r>
      <w:r>
        <w:rPr>
          <w:b/>
          <w:spacing w:val="6"/>
          <w:sz w:val="22"/>
          <w:szCs w:val="22"/>
          <w:lang w:eastAsia="lt-LT"/>
        </w:rPr>
        <w:t xml:space="preserve"> </w:t>
      </w:r>
      <w:r>
        <w:rPr>
          <w:szCs w:val="24"/>
          <w:lang w:eastAsia="lt-LT"/>
        </w:rPr>
        <w:t xml:space="preserve"> ir finansų skyriaus vedėja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Jolanta Sakavičienė</w:t>
      </w:r>
    </w:p>
    <w:sectPr w:rsidR="00040836" w:rsidSect="006E70C7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50F8"/>
    <w:multiLevelType w:val="hybridMultilevel"/>
    <w:tmpl w:val="066A48E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3944EBF"/>
    <w:multiLevelType w:val="hybridMultilevel"/>
    <w:tmpl w:val="5784E320"/>
    <w:lvl w:ilvl="0" w:tplc="58563AB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4497954">
    <w:abstractNumId w:val="0"/>
  </w:num>
  <w:num w:numId="2" w16cid:durableId="104564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36"/>
    <w:rsid w:val="00040836"/>
    <w:rsid w:val="006E70C7"/>
    <w:rsid w:val="00A30917"/>
    <w:rsid w:val="00E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BE9B"/>
  <w15:docId w15:val="{83B552BB-EBD7-448F-874C-78B64D17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b w:val="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character" w:styleId="Hipersaitas">
    <w:name w:val="Hyperlink"/>
    <w:rPr>
      <w:color w:val="0563C1"/>
      <w:u w:val="single"/>
    </w:rPr>
  </w:style>
  <w:style w:type="character" w:styleId="Neapdorotaspaminjimas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  <w:lang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styleId="Sraopastraipa">
    <w:name w:val="List Paragraph"/>
    <w:basedOn w:val="prastasis"/>
    <w:qFormat/>
    <w:pPr>
      <w:ind w:left="1296"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2024-02-14T13:49:00Z</cp:lastPrinted>
  <dcterms:created xsi:type="dcterms:W3CDTF">2025-11-20T16:27:00Z</dcterms:created>
  <dcterms:modified xsi:type="dcterms:W3CDTF">2025-11-20T15:11:00Z</dcterms:modified>
  <dc:language>en-US</dc:language>
</cp:coreProperties>
</file>