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C532" w14:textId="77777777" w:rsidR="004731DF" w:rsidRPr="00B114A3" w:rsidRDefault="004731DF" w:rsidP="004731DF">
      <w:pPr>
        <w:jc w:val="right"/>
        <w:rPr>
          <w:b/>
          <w:sz w:val="24"/>
          <w:szCs w:val="24"/>
        </w:rPr>
      </w:pPr>
      <w:bookmarkStart w:id="0" w:name="_Hlk192235941"/>
      <w:bookmarkEnd w:id="0"/>
      <w:r w:rsidRPr="00B114A3">
        <w:rPr>
          <w:b/>
          <w:sz w:val="24"/>
          <w:szCs w:val="24"/>
        </w:rPr>
        <w:t>Projektas</w:t>
      </w:r>
    </w:p>
    <w:p w14:paraId="1B34CB8F" w14:textId="40E06BBD" w:rsidR="004731DF" w:rsidRDefault="005B32D5" w:rsidP="004731DF">
      <w:pPr>
        <w:jc w:val="center"/>
        <w:rPr>
          <w:noProof/>
          <w:sz w:val="24"/>
          <w:szCs w:val="24"/>
          <w:lang w:eastAsia="lt-LT"/>
        </w:rPr>
      </w:pPr>
      <w:r w:rsidRPr="00A25379">
        <w:rPr>
          <w:noProof/>
          <w:sz w:val="24"/>
          <w:szCs w:val="24"/>
          <w:lang w:eastAsia="lt-LT"/>
        </w:rPr>
        <w:drawing>
          <wp:inline distT="0" distB="0" distL="0" distR="0" wp14:anchorId="6AAD1A9F" wp14:editId="0DE33CD3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36BFB" w14:textId="77777777" w:rsidR="005B32D5" w:rsidRDefault="005B32D5" w:rsidP="004731DF">
      <w:pPr>
        <w:jc w:val="center"/>
        <w:rPr>
          <w:sz w:val="24"/>
          <w:szCs w:val="24"/>
        </w:rPr>
      </w:pPr>
    </w:p>
    <w:p w14:paraId="5371EFDC" w14:textId="77777777" w:rsidR="004731DF" w:rsidRPr="00B114A3" w:rsidRDefault="004731DF" w:rsidP="004731DF">
      <w:pPr>
        <w:jc w:val="center"/>
        <w:rPr>
          <w:b/>
          <w:bCs/>
          <w:sz w:val="24"/>
          <w:szCs w:val="24"/>
          <w:lang w:eastAsia="zh-CN"/>
        </w:rPr>
      </w:pPr>
      <w:r w:rsidRPr="00B114A3">
        <w:rPr>
          <w:b/>
          <w:bCs/>
          <w:sz w:val="24"/>
          <w:szCs w:val="24"/>
          <w:lang w:eastAsia="zh-CN"/>
        </w:rPr>
        <w:t>KĖDAINIŲ RAJONO SAVIVALDYBĖS TARYBA</w:t>
      </w:r>
    </w:p>
    <w:p w14:paraId="550BACA1" w14:textId="77777777" w:rsidR="004731DF" w:rsidRPr="00B114A3" w:rsidRDefault="004731DF" w:rsidP="004731DF">
      <w:pPr>
        <w:jc w:val="center"/>
        <w:rPr>
          <w:b/>
          <w:bCs/>
          <w:sz w:val="24"/>
          <w:szCs w:val="24"/>
        </w:rPr>
      </w:pPr>
    </w:p>
    <w:p w14:paraId="3BEA70EF" w14:textId="77777777" w:rsidR="004731DF" w:rsidRPr="00B114A3" w:rsidRDefault="004731DF" w:rsidP="004731DF">
      <w:pPr>
        <w:jc w:val="center"/>
        <w:rPr>
          <w:b/>
          <w:bCs/>
          <w:sz w:val="24"/>
          <w:szCs w:val="24"/>
        </w:rPr>
      </w:pPr>
      <w:r w:rsidRPr="00B114A3">
        <w:rPr>
          <w:b/>
          <w:bCs/>
          <w:sz w:val="24"/>
          <w:szCs w:val="24"/>
        </w:rPr>
        <w:t>SPRENDIMAS</w:t>
      </w:r>
    </w:p>
    <w:p w14:paraId="6325B0B3" w14:textId="4312C90D" w:rsidR="004731DF" w:rsidRPr="00B114A3" w:rsidRDefault="004731DF" w:rsidP="004731DF">
      <w:pPr>
        <w:widowControl w:val="0"/>
        <w:tabs>
          <w:tab w:val="left" w:pos="567"/>
          <w:tab w:val="left" w:pos="597"/>
          <w:tab w:val="left" w:pos="792"/>
        </w:tabs>
        <w:suppressAutoHyphens/>
        <w:ind w:left="30"/>
        <w:jc w:val="center"/>
        <w:rPr>
          <w:rFonts w:eastAsia="Andale Sans UI"/>
          <w:b/>
          <w:bCs/>
          <w:caps/>
          <w:kern w:val="1"/>
          <w:sz w:val="24"/>
          <w:szCs w:val="24"/>
        </w:rPr>
      </w:pPr>
      <w:r w:rsidRPr="008D31BE">
        <w:rPr>
          <w:rFonts w:eastAsia="Andale Sans UI"/>
          <w:b/>
          <w:bCs/>
          <w:kern w:val="1"/>
          <w:sz w:val="24"/>
          <w:szCs w:val="24"/>
        </w:rPr>
        <w:t xml:space="preserve">DĖL KĖDAINIŲ RAJONO SAVIVALDYBĖS TARYBOS 2023 M. </w:t>
      </w:r>
      <w:r>
        <w:rPr>
          <w:rFonts w:eastAsia="Andale Sans UI"/>
          <w:b/>
          <w:bCs/>
          <w:kern w:val="1"/>
          <w:sz w:val="24"/>
          <w:szCs w:val="24"/>
        </w:rPr>
        <w:t>GRUODŽIO</w:t>
      </w:r>
      <w:r w:rsidRPr="008D31BE">
        <w:rPr>
          <w:rFonts w:eastAsia="Andale Sans UI"/>
          <w:b/>
          <w:bCs/>
          <w:kern w:val="1"/>
          <w:sz w:val="24"/>
          <w:szCs w:val="24"/>
        </w:rPr>
        <w:t xml:space="preserve"> 2</w:t>
      </w:r>
      <w:r>
        <w:rPr>
          <w:rFonts w:eastAsia="Andale Sans UI"/>
          <w:b/>
          <w:bCs/>
          <w:kern w:val="1"/>
          <w:sz w:val="24"/>
          <w:szCs w:val="24"/>
        </w:rPr>
        <w:t>2</w:t>
      </w:r>
      <w:r w:rsidRPr="008D31BE">
        <w:rPr>
          <w:rFonts w:eastAsia="Andale Sans UI"/>
          <w:b/>
          <w:bCs/>
          <w:kern w:val="1"/>
          <w:sz w:val="24"/>
          <w:szCs w:val="24"/>
        </w:rPr>
        <w:t xml:space="preserve"> D. SPRENDIMO NR. </w:t>
      </w:r>
      <w:r w:rsidRPr="00B114A3">
        <w:rPr>
          <w:rFonts w:eastAsia="Andale Sans UI"/>
          <w:b/>
          <w:bCs/>
          <w:kern w:val="1"/>
          <w:sz w:val="24"/>
          <w:szCs w:val="24"/>
        </w:rPr>
        <w:t>TS-359</w:t>
      </w:r>
      <w:r>
        <w:rPr>
          <w:rFonts w:eastAsia="Andale Sans UI"/>
          <w:b/>
          <w:bCs/>
          <w:kern w:val="1"/>
          <w:sz w:val="24"/>
          <w:szCs w:val="24"/>
        </w:rPr>
        <w:t xml:space="preserve">  „</w:t>
      </w:r>
      <w:r w:rsidRPr="00B114A3">
        <w:rPr>
          <w:rFonts w:eastAsia="Andale Sans UI"/>
          <w:b/>
          <w:bCs/>
          <w:kern w:val="1"/>
          <w:sz w:val="24"/>
          <w:szCs w:val="24"/>
        </w:rPr>
        <w:t xml:space="preserve">DĖL </w:t>
      </w:r>
      <w:r w:rsidRPr="00B114A3">
        <w:rPr>
          <w:rFonts w:eastAsia="Andale Sans UI"/>
          <w:b/>
          <w:kern w:val="1"/>
          <w:sz w:val="24"/>
          <w:szCs w:val="24"/>
        </w:rPr>
        <w:t>KĖDAINIŲ RAJONO SAVIVALDYBĖS PRIKLAUSOMYBĘ SUKELIANČIŲ MEDŽIAGŲ VARTOJIMO MAŽINIMO IR PREVENCIJOS 2024−2027 METŲ PROGRAMOS PATVIRTINIMO</w:t>
      </w:r>
      <w:r>
        <w:rPr>
          <w:rFonts w:eastAsia="Andale Sans UI"/>
          <w:b/>
          <w:kern w:val="1"/>
          <w:sz w:val="24"/>
          <w:szCs w:val="24"/>
        </w:rPr>
        <w:t>“ PAKEITIMO</w:t>
      </w:r>
    </w:p>
    <w:p w14:paraId="37F89CA4" w14:textId="77777777" w:rsidR="004731DF" w:rsidRDefault="004731DF" w:rsidP="004731DF">
      <w:pPr>
        <w:jc w:val="center"/>
        <w:rPr>
          <w:sz w:val="24"/>
          <w:szCs w:val="24"/>
        </w:rPr>
      </w:pPr>
    </w:p>
    <w:p w14:paraId="58F5FC86" w14:textId="37D884B9" w:rsidR="005B32D5" w:rsidRDefault="005B32D5" w:rsidP="005B32D5">
      <w:pPr>
        <w:contextualSpacing/>
        <w:jc w:val="center"/>
        <w:rPr>
          <w:sz w:val="24"/>
          <w:szCs w:val="24"/>
        </w:rPr>
      </w:pPr>
      <w:bookmarkStart w:id="1" w:name="_Hlk208906582"/>
      <w:bookmarkStart w:id="2" w:name="_Hlk216274433"/>
      <w:bookmarkStart w:id="3" w:name="_Hlk214265144"/>
      <w:bookmarkStart w:id="4" w:name="_Hlk207786081"/>
      <w:r w:rsidRPr="005844B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5844BB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17 </w:t>
      </w:r>
      <w:r w:rsidRPr="005844BB">
        <w:rPr>
          <w:sz w:val="24"/>
          <w:szCs w:val="24"/>
        </w:rPr>
        <w:t xml:space="preserve">d. Nr. </w:t>
      </w:r>
      <w:bookmarkEnd w:id="1"/>
      <w:r>
        <w:rPr>
          <w:sz w:val="24"/>
          <w:szCs w:val="24"/>
        </w:rPr>
        <w:t>SP-</w:t>
      </w:r>
      <w:bookmarkEnd w:id="2"/>
      <w:r>
        <w:rPr>
          <w:sz w:val="24"/>
          <w:szCs w:val="24"/>
        </w:rPr>
        <w:t>50</w:t>
      </w:r>
      <w:r>
        <w:rPr>
          <w:sz w:val="24"/>
          <w:szCs w:val="24"/>
        </w:rPr>
        <w:t xml:space="preserve">  </w:t>
      </w:r>
      <w:bookmarkEnd w:id="3"/>
    </w:p>
    <w:bookmarkEnd w:id="4"/>
    <w:p w14:paraId="68A65F81" w14:textId="77777777" w:rsidR="004731DF" w:rsidRPr="002F77D6" w:rsidRDefault="004731DF" w:rsidP="004731DF">
      <w:pPr>
        <w:jc w:val="center"/>
        <w:rPr>
          <w:sz w:val="24"/>
          <w:szCs w:val="24"/>
        </w:rPr>
      </w:pPr>
      <w:r w:rsidRPr="002F77D6">
        <w:rPr>
          <w:sz w:val="24"/>
          <w:szCs w:val="24"/>
        </w:rPr>
        <w:t xml:space="preserve"> Kėdainiai</w:t>
      </w:r>
    </w:p>
    <w:p w14:paraId="51AACB54" w14:textId="77777777" w:rsidR="004731DF" w:rsidRPr="002F77D6" w:rsidRDefault="004731DF" w:rsidP="004731DF">
      <w:pPr>
        <w:jc w:val="both"/>
        <w:rPr>
          <w:color w:val="FF0000"/>
          <w:sz w:val="24"/>
          <w:szCs w:val="24"/>
        </w:rPr>
      </w:pPr>
      <w:bookmarkStart w:id="5" w:name="_Hlk103344895"/>
    </w:p>
    <w:bookmarkEnd w:id="5"/>
    <w:p w14:paraId="20472BD6" w14:textId="77777777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Kėdainių</w:t>
      </w:r>
      <w:r w:rsidRPr="00773470">
        <w:rPr>
          <w:sz w:val="24"/>
          <w:szCs w:val="24"/>
        </w:rPr>
        <w:t xml:space="preserve"> rajono savivaldybės taryba </w:t>
      </w:r>
      <w:r>
        <w:rPr>
          <w:sz w:val="24"/>
          <w:szCs w:val="24"/>
        </w:rPr>
        <w:t xml:space="preserve"> </w:t>
      </w:r>
      <w:r w:rsidRPr="00773470">
        <w:rPr>
          <w:sz w:val="24"/>
          <w:szCs w:val="24"/>
        </w:rPr>
        <w:t>n u s p r e n d ž i a:</w:t>
      </w:r>
    </w:p>
    <w:p w14:paraId="65696DCF" w14:textId="162A3C71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</w:t>
      </w:r>
      <w:r w:rsidRPr="00FD1699">
        <w:rPr>
          <w:sz w:val="24"/>
          <w:szCs w:val="24"/>
        </w:rPr>
        <w:t>Kėdainių rajono savivaldybės priklausomybę sukeliančių medžiagų vartojimo mažinimo ir prevencijos 2024–2027 metų program</w:t>
      </w:r>
      <w:r>
        <w:rPr>
          <w:sz w:val="24"/>
          <w:szCs w:val="24"/>
        </w:rPr>
        <w:t>os, patvirtintos K</w:t>
      </w:r>
      <w:r w:rsidRPr="00E52170">
        <w:rPr>
          <w:sz w:val="24"/>
          <w:szCs w:val="24"/>
        </w:rPr>
        <w:t>ėdainių rajono savivaldybės tarybos 2023 m. gruodžio 22 d. sprendim</w:t>
      </w:r>
      <w:r>
        <w:rPr>
          <w:sz w:val="24"/>
          <w:szCs w:val="24"/>
        </w:rPr>
        <w:t>u</w:t>
      </w:r>
      <w:r w:rsidRPr="00E52170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E52170">
        <w:rPr>
          <w:sz w:val="24"/>
          <w:szCs w:val="24"/>
        </w:rPr>
        <w:t xml:space="preserve">r. </w:t>
      </w:r>
      <w:r>
        <w:rPr>
          <w:sz w:val="24"/>
          <w:szCs w:val="24"/>
        </w:rPr>
        <w:t>TS</w:t>
      </w:r>
      <w:r w:rsidRPr="00E52170">
        <w:rPr>
          <w:sz w:val="24"/>
          <w:szCs w:val="24"/>
        </w:rPr>
        <w:t>-359 „</w:t>
      </w:r>
      <w:r>
        <w:rPr>
          <w:sz w:val="24"/>
          <w:szCs w:val="24"/>
        </w:rPr>
        <w:t>D</w:t>
      </w:r>
      <w:r w:rsidRPr="00E52170">
        <w:rPr>
          <w:sz w:val="24"/>
          <w:szCs w:val="24"/>
        </w:rPr>
        <w:t xml:space="preserve">ėl </w:t>
      </w:r>
      <w:r>
        <w:rPr>
          <w:sz w:val="24"/>
          <w:szCs w:val="24"/>
        </w:rPr>
        <w:t>K</w:t>
      </w:r>
      <w:r w:rsidRPr="00E52170">
        <w:rPr>
          <w:sz w:val="24"/>
          <w:szCs w:val="24"/>
        </w:rPr>
        <w:t>ėdainių rajono savivaldybės priklausomybę sukeliančių medžiagų vartojimo mažinimo ir prevencijos 2024−2027 metų programos patvirtinimo</w:t>
      </w:r>
      <w:r>
        <w:rPr>
          <w:sz w:val="24"/>
          <w:szCs w:val="24"/>
        </w:rPr>
        <w:t>“, priedą:</w:t>
      </w:r>
    </w:p>
    <w:p w14:paraId="18A67977" w14:textId="77777777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 Pakeisti priedo 1.2 punktą ir jį išdėstyti taip:</w:t>
      </w:r>
    </w:p>
    <w:tbl>
      <w:tblPr>
        <w:tblStyle w:val="Lentelstinklelis"/>
        <w:tblpPr w:leftFromText="180" w:rightFromText="180" w:vertAnchor="text" w:horzAnchor="margin" w:tblpXSpec="center" w:tblpY="56"/>
        <w:tblW w:w="10060" w:type="dxa"/>
        <w:tblLook w:val="04A0" w:firstRow="1" w:lastRow="0" w:firstColumn="1" w:lastColumn="0" w:noHBand="0" w:noVBand="1"/>
      </w:tblPr>
      <w:tblGrid>
        <w:gridCol w:w="2543"/>
        <w:gridCol w:w="1132"/>
        <w:gridCol w:w="1413"/>
        <w:gridCol w:w="1132"/>
        <w:gridCol w:w="989"/>
        <w:gridCol w:w="1137"/>
        <w:gridCol w:w="1005"/>
        <w:gridCol w:w="709"/>
      </w:tblGrid>
      <w:tr w:rsidR="004731DF" w14:paraId="28F491E1" w14:textId="77777777" w:rsidTr="00C23D90">
        <w:trPr>
          <w:trHeight w:val="2260"/>
        </w:trPr>
        <w:tc>
          <w:tcPr>
            <w:tcW w:w="2543" w:type="dxa"/>
          </w:tcPr>
          <w:p w14:paraId="458E86D9" w14:textId="5DFC2E11" w:rsidR="004731DF" w:rsidRDefault="004731DF" w:rsidP="008C60F4">
            <w:pPr>
              <w:rPr>
                <w:sz w:val="24"/>
                <w:szCs w:val="24"/>
              </w:rPr>
            </w:pPr>
            <w:r w:rsidRPr="000A53E1">
              <w:rPr>
                <w:color w:val="000000" w:themeColor="text1"/>
                <w:sz w:val="22"/>
                <w:szCs w:val="22"/>
              </w:rPr>
              <w:t xml:space="preserve">„1.2. </w:t>
            </w:r>
            <w:r w:rsidR="00CF3204">
              <w:rPr>
                <w:color w:val="000000" w:themeColor="text1"/>
                <w:sz w:val="22"/>
                <w:szCs w:val="22"/>
              </w:rPr>
              <w:t>P</w:t>
            </w:r>
            <w:r w:rsidRPr="000A53E1">
              <w:rPr>
                <w:color w:val="000000" w:themeColor="text1"/>
                <w:sz w:val="22"/>
                <w:szCs w:val="22"/>
              </w:rPr>
              <w:t>revencin</w:t>
            </w:r>
            <w:r w:rsidR="00CF3204">
              <w:rPr>
                <w:color w:val="000000" w:themeColor="text1"/>
                <w:sz w:val="22"/>
                <w:szCs w:val="22"/>
              </w:rPr>
              <w:t>ė</w:t>
            </w:r>
            <w:r w:rsidRPr="000A53E1">
              <w:rPr>
                <w:color w:val="000000" w:themeColor="text1"/>
                <w:sz w:val="22"/>
                <w:szCs w:val="22"/>
              </w:rPr>
              <w:t>s paskait</w:t>
            </w:r>
            <w:r w:rsidR="00CF3204">
              <w:rPr>
                <w:color w:val="000000" w:themeColor="text1"/>
                <w:sz w:val="22"/>
                <w:szCs w:val="22"/>
              </w:rPr>
              <w:t>o</w:t>
            </w:r>
            <w:r w:rsidRPr="000A53E1">
              <w:rPr>
                <w:color w:val="000000" w:themeColor="text1"/>
                <w:sz w:val="22"/>
                <w:szCs w:val="22"/>
              </w:rPr>
              <w:t>s mokiniams, tėvams, mokytojams apie psichoaktyvių medžiagų žalą (tarp jaunimo  populiarių, žymių žmonių prevencinės paskaitos mokiniams ir kt. bendruomenės nariams)</w:t>
            </w:r>
          </w:p>
        </w:tc>
        <w:tc>
          <w:tcPr>
            <w:tcW w:w="1132" w:type="dxa"/>
          </w:tcPr>
          <w:p w14:paraId="07D80AA7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VSB</w:t>
            </w:r>
          </w:p>
        </w:tc>
        <w:tc>
          <w:tcPr>
            <w:tcW w:w="1413" w:type="dxa"/>
          </w:tcPr>
          <w:p w14:paraId="061D57A7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Paskaitų skaičius,</w:t>
            </w:r>
          </w:p>
          <w:p w14:paraId="2EB850E0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mokinių, tėvų ir mokytojų skaičius</w:t>
            </w:r>
          </w:p>
        </w:tc>
        <w:tc>
          <w:tcPr>
            <w:tcW w:w="1132" w:type="dxa"/>
          </w:tcPr>
          <w:p w14:paraId="7003657B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CA5445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989" w:type="dxa"/>
          </w:tcPr>
          <w:p w14:paraId="4D592428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137" w:type="dxa"/>
          </w:tcPr>
          <w:p w14:paraId="6FCCF1C3" w14:textId="777B9FF6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6 6</w:t>
            </w:r>
            <w:r w:rsidRPr="00CA5445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005" w:type="dxa"/>
          </w:tcPr>
          <w:p w14:paraId="2463C0E0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709" w:type="dxa"/>
          </w:tcPr>
          <w:p w14:paraId="21EB0EBE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51A15FCC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E4E79B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695FEA0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3560762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6660A79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3ACB5ED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3CC0324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4A13ED7" w14:textId="77777777" w:rsidR="004731DF" w:rsidRDefault="004731DF" w:rsidP="008C60F4">
            <w:pPr>
              <w:rPr>
                <w:sz w:val="24"/>
                <w:szCs w:val="24"/>
              </w:rPr>
            </w:pPr>
          </w:p>
        </w:tc>
      </w:tr>
    </w:tbl>
    <w:p w14:paraId="498D1B10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51089C98" w14:textId="70595CC1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8D3C3A">
        <w:rPr>
          <w:sz w:val="24"/>
          <w:szCs w:val="24"/>
        </w:rPr>
        <w:t xml:space="preserve"> </w:t>
      </w:r>
      <w:r>
        <w:rPr>
          <w:sz w:val="24"/>
          <w:szCs w:val="24"/>
        </w:rPr>
        <w:t>Pakeisti priedo 1.9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531"/>
        <w:gridCol w:w="1125"/>
        <w:gridCol w:w="1410"/>
        <w:gridCol w:w="1119"/>
        <w:gridCol w:w="985"/>
        <w:gridCol w:w="1119"/>
        <w:gridCol w:w="1051"/>
        <w:gridCol w:w="583"/>
      </w:tblGrid>
      <w:tr w:rsidR="00037498" w:rsidRPr="006F69C1" w14:paraId="0E57F441" w14:textId="77777777" w:rsidTr="00C23D90">
        <w:tc>
          <w:tcPr>
            <w:tcW w:w="2552" w:type="dxa"/>
          </w:tcPr>
          <w:p w14:paraId="44B60E00" w14:textId="72C2E3B2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„1.9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>Organizuoti sporto mugę „Pažink sporto šakas“</w:t>
            </w:r>
          </w:p>
        </w:tc>
        <w:tc>
          <w:tcPr>
            <w:tcW w:w="1134" w:type="dxa"/>
          </w:tcPr>
          <w:p w14:paraId="250714C3" w14:textId="35FBE4BD" w:rsidR="004731DF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KSC</w:t>
            </w:r>
          </w:p>
        </w:tc>
        <w:tc>
          <w:tcPr>
            <w:tcW w:w="1417" w:type="dxa"/>
          </w:tcPr>
          <w:p w14:paraId="1BB43CE8" w14:textId="6C496EE5" w:rsidR="004731DF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Renginių</w:t>
            </w:r>
            <w:r w:rsidR="004731DF" w:rsidRPr="00CA5445">
              <w:rPr>
                <w:color w:val="000000" w:themeColor="text1"/>
                <w:sz w:val="22"/>
                <w:szCs w:val="22"/>
              </w:rPr>
              <w:t xml:space="preserve"> skaičius</w:t>
            </w:r>
          </w:p>
        </w:tc>
        <w:tc>
          <w:tcPr>
            <w:tcW w:w="1134" w:type="dxa"/>
          </w:tcPr>
          <w:p w14:paraId="6C914F5E" w14:textId="32E94DC8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1D9EC71B" w14:textId="01229804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14:paraId="6F491752" w14:textId="31C00EC1" w:rsidR="004731DF" w:rsidRPr="004731DF" w:rsidRDefault="005557FB" w:rsidP="008C60F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14:paraId="62108DB0" w14:textId="0D833B3B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499" w:type="dxa"/>
          </w:tcPr>
          <w:p w14:paraId="30187E2B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36ACFA4F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43A7904F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1E63AAC7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21685DED" w14:textId="65F4D3EF" w:rsidR="00517DED" w:rsidRDefault="00517DED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1.3. Pakeisti priedo 2.2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527"/>
        <w:gridCol w:w="1128"/>
        <w:gridCol w:w="1408"/>
        <w:gridCol w:w="1122"/>
        <w:gridCol w:w="984"/>
        <w:gridCol w:w="1122"/>
        <w:gridCol w:w="1049"/>
        <w:gridCol w:w="583"/>
      </w:tblGrid>
      <w:tr w:rsidR="00517DED" w:rsidRPr="006F69C1" w14:paraId="72F95BF3" w14:textId="77777777" w:rsidTr="00C23D90">
        <w:tc>
          <w:tcPr>
            <w:tcW w:w="2552" w:type="dxa"/>
          </w:tcPr>
          <w:p w14:paraId="3BE811CF" w14:textId="00B70682" w:rsidR="00517DED" w:rsidRPr="00CA5445" w:rsidRDefault="00517DED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>. Į</w:t>
            </w:r>
            <w:r>
              <w:rPr>
                <w:color w:val="000000" w:themeColor="text1"/>
                <w:sz w:val="22"/>
                <w:szCs w:val="22"/>
              </w:rPr>
              <w:t>diegti mokyklose lauko durų užrakinimo sistemą (neblokuojant išėjimo iš patalpų)</w:t>
            </w:r>
          </w:p>
        </w:tc>
        <w:tc>
          <w:tcPr>
            <w:tcW w:w="1134" w:type="dxa"/>
          </w:tcPr>
          <w:p w14:paraId="50FFFB54" w14:textId="77777777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KRSA,</w:t>
            </w:r>
          </w:p>
          <w:p w14:paraId="0759AA26" w14:textId="77777777" w:rsidR="00517DED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BUM</w:t>
            </w:r>
          </w:p>
        </w:tc>
        <w:tc>
          <w:tcPr>
            <w:tcW w:w="1417" w:type="dxa"/>
          </w:tcPr>
          <w:p w14:paraId="15E1251C" w14:textId="77777777" w:rsidR="00517DED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1134" w:type="dxa"/>
          </w:tcPr>
          <w:p w14:paraId="79596A93" w14:textId="4A2DB91E" w:rsidR="00517DED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993" w:type="dxa"/>
          </w:tcPr>
          <w:p w14:paraId="765A8D93" w14:textId="0A773809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</w:tcPr>
          <w:p w14:paraId="0AF62A21" w14:textId="209F3552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</w:t>
            </w:r>
            <w:r w:rsidR="00AB178E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060" w:type="dxa"/>
          </w:tcPr>
          <w:p w14:paraId="20BAF2DB" w14:textId="069A809C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499" w:type="dxa"/>
          </w:tcPr>
          <w:p w14:paraId="3F037E3F" w14:textId="77777777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040F03B1" w14:textId="77777777" w:rsidR="00517DED" w:rsidRPr="00CA5445" w:rsidRDefault="00517DED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4F0D57BF" w14:textId="77777777" w:rsidR="00517DED" w:rsidRPr="00CA5445" w:rsidRDefault="00517DED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4DEC07F0" w14:textId="77777777" w:rsidR="00517DED" w:rsidRPr="00CA5445" w:rsidRDefault="00517DED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5244F555" w14:textId="77777777" w:rsidR="00517DED" w:rsidRDefault="00517DED" w:rsidP="00517DED">
      <w:pPr>
        <w:jc w:val="both"/>
        <w:rPr>
          <w:sz w:val="24"/>
          <w:szCs w:val="24"/>
        </w:rPr>
      </w:pPr>
    </w:p>
    <w:p w14:paraId="455402BD" w14:textId="05940F96" w:rsidR="004731DF" w:rsidRDefault="00517DED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731DF">
        <w:rPr>
          <w:sz w:val="24"/>
          <w:szCs w:val="24"/>
        </w:rPr>
        <w:t>Pakeisti priedo 2.3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539"/>
        <w:gridCol w:w="1092"/>
        <w:gridCol w:w="1451"/>
        <w:gridCol w:w="1128"/>
        <w:gridCol w:w="988"/>
        <w:gridCol w:w="1128"/>
        <w:gridCol w:w="1014"/>
        <w:gridCol w:w="583"/>
      </w:tblGrid>
      <w:tr w:rsidR="004C269B" w:rsidRPr="006F69C1" w14:paraId="434522EB" w14:textId="77777777" w:rsidTr="00C23D90">
        <w:tc>
          <w:tcPr>
            <w:tcW w:w="2552" w:type="dxa"/>
          </w:tcPr>
          <w:p w14:paraId="42F9E2E7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color w:val="000000" w:themeColor="text1"/>
                <w:sz w:val="22"/>
                <w:szCs w:val="22"/>
              </w:rPr>
              <w:t>2.3. Įrengti elektroninių cigarečių detektorius mokyklose, kurie fiksuotų dūmus ir garus</w:t>
            </w:r>
          </w:p>
        </w:tc>
        <w:tc>
          <w:tcPr>
            <w:tcW w:w="1095" w:type="dxa"/>
          </w:tcPr>
          <w:p w14:paraId="07829462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KRSA,</w:t>
            </w:r>
          </w:p>
          <w:p w14:paraId="37832C9F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BUM</w:t>
            </w:r>
          </w:p>
        </w:tc>
        <w:tc>
          <w:tcPr>
            <w:tcW w:w="1456" w:type="dxa"/>
          </w:tcPr>
          <w:p w14:paraId="3E53B25E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1134" w:type="dxa"/>
          </w:tcPr>
          <w:p w14:paraId="2BEE9B7D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993" w:type="dxa"/>
          </w:tcPr>
          <w:p w14:paraId="7BCFCDFE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134" w:type="dxa"/>
          </w:tcPr>
          <w:p w14:paraId="6E1E8354" w14:textId="5CBD72A6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7F62B4">
              <w:rPr>
                <w:color w:val="000000" w:themeColor="text1"/>
                <w:sz w:val="22"/>
                <w:szCs w:val="22"/>
              </w:rPr>
              <w:t>8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178E">
              <w:rPr>
                <w:color w:val="000000" w:themeColor="text1"/>
                <w:sz w:val="22"/>
                <w:szCs w:val="22"/>
              </w:rPr>
              <w:t>5</w:t>
            </w:r>
            <w:r w:rsidRPr="00CA5445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019" w:type="dxa"/>
          </w:tcPr>
          <w:p w14:paraId="23A129AD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540" w:type="dxa"/>
          </w:tcPr>
          <w:p w14:paraId="78C88492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3F92D41E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7EE05F22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00AE8C33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4E597986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5A552DA8" w14:textId="1F8FE8E4" w:rsidR="00002C52" w:rsidRDefault="00002C52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1.5. Pakeisti priedo 2.</w:t>
      </w:r>
      <w:r w:rsidR="00C95BD1">
        <w:rPr>
          <w:sz w:val="24"/>
          <w:szCs w:val="24"/>
        </w:rPr>
        <w:t>5</w:t>
      </w:r>
      <w:r>
        <w:rPr>
          <w:sz w:val="24"/>
          <w:szCs w:val="24"/>
        </w:rPr>
        <w:t xml:space="preserve">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134"/>
        <w:gridCol w:w="993"/>
        <w:gridCol w:w="1134"/>
        <w:gridCol w:w="976"/>
        <w:gridCol w:w="583"/>
      </w:tblGrid>
      <w:tr w:rsidR="00002C52" w:rsidRPr="006F69C1" w14:paraId="4D34A48F" w14:textId="77777777" w:rsidTr="00C44E34">
        <w:tc>
          <w:tcPr>
            <w:tcW w:w="2268" w:type="dxa"/>
          </w:tcPr>
          <w:p w14:paraId="10C55BAD" w14:textId="768426A1" w:rsidR="00002C52" w:rsidRPr="00CA5445" w:rsidRDefault="00002C52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color w:val="000000" w:themeColor="text1"/>
                <w:sz w:val="22"/>
                <w:szCs w:val="22"/>
              </w:rPr>
              <w:t>2.</w:t>
            </w:r>
            <w:r w:rsidR="00C95BD1">
              <w:rPr>
                <w:color w:val="000000" w:themeColor="text1"/>
                <w:sz w:val="22"/>
                <w:szCs w:val="22"/>
              </w:rPr>
              <w:t>5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. Įrengti </w:t>
            </w:r>
            <w:r w:rsidR="00C95BD1">
              <w:rPr>
                <w:color w:val="000000" w:themeColor="text1"/>
                <w:sz w:val="22"/>
                <w:szCs w:val="22"/>
              </w:rPr>
              <w:t>ar atnaujinti vaizdo stebėjimo kameras mokykl</w:t>
            </w:r>
            <w:r w:rsidR="00CC3AF1">
              <w:rPr>
                <w:color w:val="000000" w:themeColor="text1"/>
                <w:sz w:val="22"/>
                <w:szCs w:val="22"/>
              </w:rPr>
              <w:t>os teritorijoje</w:t>
            </w:r>
          </w:p>
        </w:tc>
        <w:tc>
          <w:tcPr>
            <w:tcW w:w="1560" w:type="dxa"/>
          </w:tcPr>
          <w:p w14:paraId="7E5AC6EC" w14:textId="77777777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KRSA,</w:t>
            </w:r>
          </w:p>
          <w:p w14:paraId="7B8E4C15" w14:textId="77777777" w:rsidR="00002C52" w:rsidRPr="00CA5445" w:rsidRDefault="00002C52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BUM</w:t>
            </w:r>
          </w:p>
        </w:tc>
        <w:tc>
          <w:tcPr>
            <w:tcW w:w="1275" w:type="dxa"/>
          </w:tcPr>
          <w:p w14:paraId="1D09C7AE" w14:textId="77777777" w:rsidR="00002C52" w:rsidRPr="00CA5445" w:rsidRDefault="00002C52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1134" w:type="dxa"/>
          </w:tcPr>
          <w:p w14:paraId="1B3E100A" w14:textId="61BD262B" w:rsidR="00002C52" w:rsidRPr="00CA5445" w:rsidRDefault="00002C52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CC3AF1">
              <w:rPr>
                <w:color w:val="000000" w:themeColor="text1"/>
                <w:sz w:val="22"/>
                <w:szCs w:val="22"/>
              </w:rPr>
              <w:t>3 700</w:t>
            </w:r>
          </w:p>
        </w:tc>
        <w:tc>
          <w:tcPr>
            <w:tcW w:w="993" w:type="dxa"/>
          </w:tcPr>
          <w:p w14:paraId="36FA2175" w14:textId="71D04AB7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CC3AF1">
              <w:rPr>
                <w:color w:val="000000" w:themeColor="text1"/>
                <w:sz w:val="22"/>
                <w:szCs w:val="22"/>
              </w:rPr>
              <w:t>3 700</w:t>
            </w:r>
          </w:p>
        </w:tc>
        <w:tc>
          <w:tcPr>
            <w:tcW w:w="1134" w:type="dxa"/>
          </w:tcPr>
          <w:p w14:paraId="34E24678" w14:textId="3A51480B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0658C6">
              <w:rPr>
                <w:color w:val="000000" w:themeColor="text1"/>
                <w:sz w:val="22"/>
                <w:szCs w:val="22"/>
              </w:rPr>
              <w:t>4 300</w:t>
            </w:r>
          </w:p>
        </w:tc>
        <w:tc>
          <w:tcPr>
            <w:tcW w:w="976" w:type="dxa"/>
          </w:tcPr>
          <w:p w14:paraId="67B62F93" w14:textId="51C8D2E4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0658C6">
              <w:rPr>
                <w:color w:val="000000" w:themeColor="text1"/>
                <w:sz w:val="22"/>
                <w:szCs w:val="22"/>
              </w:rPr>
              <w:t>3 700</w:t>
            </w:r>
          </w:p>
        </w:tc>
        <w:tc>
          <w:tcPr>
            <w:tcW w:w="583" w:type="dxa"/>
          </w:tcPr>
          <w:p w14:paraId="534C0D44" w14:textId="77777777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27A5D501" w14:textId="77777777" w:rsidR="00002C52" w:rsidRPr="00CA5445" w:rsidRDefault="00002C52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1FE93F0A" w14:textId="77777777" w:rsidR="00002C52" w:rsidRPr="00CA5445" w:rsidRDefault="00002C52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52241489" w14:textId="77777777" w:rsidR="00002C52" w:rsidRPr="00CA5445" w:rsidRDefault="00002C52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6F9FA3A0" w14:textId="77777777" w:rsidR="00002C52" w:rsidRDefault="00002C52" w:rsidP="004731DF">
      <w:pPr>
        <w:ind w:firstLine="680"/>
        <w:jc w:val="both"/>
        <w:rPr>
          <w:sz w:val="24"/>
          <w:szCs w:val="24"/>
        </w:rPr>
      </w:pPr>
    </w:p>
    <w:p w14:paraId="5997DB0D" w14:textId="4297DF89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04C82">
        <w:rPr>
          <w:sz w:val="24"/>
          <w:szCs w:val="24"/>
        </w:rPr>
        <w:t>6</w:t>
      </w:r>
      <w:r>
        <w:rPr>
          <w:sz w:val="24"/>
          <w:szCs w:val="24"/>
        </w:rPr>
        <w:t>. Pakeisti priedo 2.6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134"/>
        <w:gridCol w:w="993"/>
        <w:gridCol w:w="1134"/>
        <w:gridCol w:w="976"/>
        <w:gridCol w:w="583"/>
      </w:tblGrid>
      <w:tr w:rsidR="004731DF" w:rsidRPr="00CA5445" w14:paraId="2018B57A" w14:textId="77777777" w:rsidTr="00C44E34">
        <w:tc>
          <w:tcPr>
            <w:tcW w:w="2268" w:type="dxa"/>
          </w:tcPr>
          <w:p w14:paraId="31BB659A" w14:textId="77777777" w:rsidR="004731DF" w:rsidRPr="00CA5445" w:rsidRDefault="004731DF" w:rsidP="008C60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bCs/>
                <w:color w:val="000000" w:themeColor="text1"/>
                <w:sz w:val="22"/>
                <w:szCs w:val="22"/>
              </w:rPr>
              <w:t>2.6. Plėsti mobilaus darbo ir atvirojo darbo su jaunimu paslaugų plėtrą rajone</w:t>
            </w:r>
          </w:p>
        </w:tc>
        <w:tc>
          <w:tcPr>
            <w:tcW w:w="1560" w:type="dxa"/>
          </w:tcPr>
          <w:p w14:paraId="7D35A3A7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KJRT, JRK,</w:t>
            </w:r>
          </w:p>
          <w:p w14:paraId="0DD42E4A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KSJMC</w:t>
            </w:r>
          </w:p>
        </w:tc>
        <w:tc>
          <w:tcPr>
            <w:tcW w:w="1275" w:type="dxa"/>
          </w:tcPr>
          <w:p w14:paraId="200080A9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Paslaugų teikimo vietų skaičius rajone</w:t>
            </w:r>
          </w:p>
        </w:tc>
        <w:tc>
          <w:tcPr>
            <w:tcW w:w="1134" w:type="dxa"/>
          </w:tcPr>
          <w:p w14:paraId="4E549A93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24 000</w:t>
            </w:r>
          </w:p>
        </w:tc>
        <w:tc>
          <w:tcPr>
            <w:tcW w:w="993" w:type="dxa"/>
          </w:tcPr>
          <w:p w14:paraId="1EBAE8AC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28000</w:t>
            </w:r>
          </w:p>
        </w:tc>
        <w:tc>
          <w:tcPr>
            <w:tcW w:w="1134" w:type="dxa"/>
          </w:tcPr>
          <w:p w14:paraId="037CDE36" w14:textId="69ED67C0" w:rsidR="004731DF" w:rsidRPr="00CA5445" w:rsidRDefault="00304C82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30</w:t>
            </w:r>
            <w:r w:rsidR="004731DF" w:rsidRPr="00CA5445">
              <w:rPr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976" w:type="dxa"/>
          </w:tcPr>
          <w:p w14:paraId="68657B48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24 000</w:t>
            </w:r>
          </w:p>
        </w:tc>
        <w:tc>
          <w:tcPr>
            <w:tcW w:w="583" w:type="dxa"/>
          </w:tcPr>
          <w:p w14:paraId="183765CE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SB</w:t>
            </w:r>
            <w:r>
              <w:rPr>
                <w:bCs/>
                <w:color w:val="000000" w:themeColor="text1"/>
                <w:sz w:val="22"/>
                <w:szCs w:val="22"/>
              </w:rPr>
              <w:t>“</w:t>
            </w:r>
          </w:p>
          <w:p w14:paraId="204951DA" w14:textId="77777777" w:rsidR="004731DF" w:rsidRPr="00CA5445" w:rsidRDefault="004731DF" w:rsidP="008C60F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7D5CCA5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3092C605" w14:textId="77777777" w:rsidR="00AA19FE" w:rsidRDefault="00AA19FE" w:rsidP="00AA19FE">
      <w:pPr>
        <w:ind w:firstLine="680"/>
        <w:jc w:val="both"/>
        <w:rPr>
          <w:sz w:val="24"/>
          <w:szCs w:val="24"/>
        </w:rPr>
      </w:pPr>
    </w:p>
    <w:p w14:paraId="254D2604" w14:textId="2E7C0A5C" w:rsidR="00AA19FE" w:rsidRPr="007D67F0" w:rsidRDefault="00AA19FE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7D67F0">
        <w:rPr>
          <w:sz w:val="24"/>
          <w:szCs w:val="24"/>
        </w:rPr>
        <w:t>.</w:t>
      </w:r>
      <w:r w:rsidR="007C4C57">
        <w:rPr>
          <w:sz w:val="24"/>
          <w:szCs w:val="24"/>
        </w:rPr>
        <w:t>7</w:t>
      </w:r>
      <w:r w:rsidRPr="007D67F0">
        <w:rPr>
          <w:sz w:val="24"/>
          <w:szCs w:val="24"/>
        </w:rPr>
        <w:t xml:space="preserve">. Pakeisti priedo </w:t>
      </w:r>
      <w:r w:rsidR="004C3740">
        <w:rPr>
          <w:sz w:val="24"/>
          <w:szCs w:val="24"/>
        </w:rPr>
        <w:t>5.1</w:t>
      </w:r>
      <w:r w:rsidRPr="007D67F0">
        <w:rPr>
          <w:sz w:val="24"/>
          <w:szCs w:val="24"/>
        </w:rPr>
        <w:t xml:space="preserve">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134"/>
        <w:gridCol w:w="993"/>
        <w:gridCol w:w="1134"/>
        <w:gridCol w:w="976"/>
        <w:gridCol w:w="583"/>
      </w:tblGrid>
      <w:tr w:rsidR="00C44E34" w:rsidRPr="007D67F0" w14:paraId="51D59C69" w14:textId="77777777" w:rsidTr="00C44E34">
        <w:tc>
          <w:tcPr>
            <w:tcW w:w="2268" w:type="dxa"/>
          </w:tcPr>
          <w:p w14:paraId="1BB83DFF" w14:textId="47309254" w:rsidR="00AA19FE" w:rsidRPr="007D67F0" w:rsidRDefault="00AA19FE" w:rsidP="008C60F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„</w:t>
            </w:r>
            <w:r w:rsidR="004C3740">
              <w:rPr>
                <w:bCs/>
                <w:color w:val="000000" w:themeColor="text1"/>
                <w:sz w:val="22"/>
                <w:szCs w:val="22"/>
              </w:rPr>
              <w:t>5.1.</w:t>
            </w:r>
            <w:r w:rsidRPr="007D67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C3740">
              <w:rPr>
                <w:bCs/>
                <w:color w:val="000000" w:themeColor="text1"/>
                <w:sz w:val="22"/>
                <w:szCs w:val="22"/>
              </w:rPr>
              <w:t xml:space="preserve">Kartu su Lietuvos sveikatos </w:t>
            </w:r>
            <w:r w:rsidR="007A5683">
              <w:rPr>
                <w:bCs/>
                <w:color w:val="000000" w:themeColor="text1"/>
                <w:sz w:val="22"/>
                <w:szCs w:val="22"/>
              </w:rPr>
              <w:t>mokslų universitetu organizuoti ir vykdyti tarptautinį mokinių sveikatos ir gyvensenos tyrimą (HBSC)</w:t>
            </w:r>
          </w:p>
        </w:tc>
        <w:tc>
          <w:tcPr>
            <w:tcW w:w="1560" w:type="dxa"/>
          </w:tcPr>
          <w:p w14:paraId="5B8EFC92" w14:textId="076D71B0" w:rsidR="00AA19FE" w:rsidRPr="007D67F0" w:rsidRDefault="005E5689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VSB</w:t>
            </w:r>
          </w:p>
        </w:tc>
        <w:tc>
          <w:tcPr>
            <w:tcW w:w="1275" w:type="dxa"/>
          </w:tcPr>
          <w:p w14:paraId="177C5125" w14:textId="37117F10" w:rsidR="00AA19FE" w:rsidRPr="007D67F0" w:rsidRDefault="005E5689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Tyrimo rezultatai</w:t>
            </w:r>
            <w:r w:rsidR="004E5D01">
              <w:rPr>
                <w:bCs/>
                <w:color w:val="000000" w:themeColor="text1"/>
                <w:sz w:val="22"/>
                <w:szCs w:val="22"/>
              </w:rPr>
              <w:t>, parengta ataskaita</w:t>
            </w:r>
          </w:p>
        </w:tc>
        <w:tc>
          <w:tcPr>
            <w:tcW w:w="1134" w:type="dxa"/>
          </w:tcPr>
          <w:p w14:paraId="1741C5B2" w14:textId="198129C0" w:rsidR="00AA19FE" w:rsidRPr="007D67F0" w:rsidRDefault="004E5D01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1E4451C7" w14:textId="2A529F8C" w:rsidR="00AA19FE" w:rsidRPr="007D67F0" w:rsidRDefault="004E5D01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C1E9D7C" w14:textId="67FC97ED" w:rsidR="00AA19FE" w:rsidRPr="004E5D01" w:rsidRDefault="004E5D01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14:paraId="6D8C9960" w14:textId="773ED850" w:rsidR="00AA19FE" w:rsidRPr="007D67F0" w:rsidRDefault="004E5D01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45E4F77A" w14:textId="77777777" w:rsidR="00AA19FE" w:rsidRPr="007D67F0" w:rsidRDefault="00AA19FE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SB“</w:t>
            </w:r>
          </w:p>
          <w:p w14:paraId="7BF6EA0B" w14:textId="77777777" w:rsidR="00AA19FE" w:rsidRPr="007D67F0" w:rsidRDefault="00AA19FE" w:rsidP="008C60F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4A7DA952" w14:textId="77777777" w:rsidR="00AA19FE" w:rsidRPr="007D67F0" w:rsidRDefault="00AA19FE" w:rsidP="008C60F4">
            <w:pPr>
              <w:rPr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6EF6D37F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0E1CA899" w14:textId="6D521453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C4C57">
        <w:rPr>
          <w:sz w:val="24"/>
          <w:szCs w:val="24"/>
        </w:rPr>
        <w:t>8</w:t>
      </w:r>
      <w:r>
        <w:rPr>
          <w:sz w:val="24"/>
          <w:szCs w:val="24"/>
        </w:rPr>
        <w:t>. Pakeisti priedo paskutiniąją pastraipą ir ją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134"/>
        <w:gridCol w:w="993"/>
        <w:gridCol w:w="1134"/>
        <w:gridCol w:w="992"/>
        <w:gridCol w:w="567"/>
      </w:tblGrid>
      <w:tr w:rsidR="004731DF" w:rsidRPr="00CA5445" w14:paraId="004F9D2C" w14:textId="77777777" w:rsidTr="00C44E34">
        <w:tc>
          <w:tcPr>
            <w:tcW w:w="2268" w:type="dxa"/>
          </w:tcPr>
          <w:p w14:paraId="7C7CB9FD" w14:textId="77777777" w:rsidR="004731DF" w:rsidRPr="00CA5445" w:rsidRDefault="004731DF" w:rsidP="008C60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Savivaldybės biudžeto lėšos:</w:t>
            </w:r>
          </w:p>
        </w:tc>
        <w:tc>
          <w:tcPr>
            <w:tcW w:w="1560" w:type="dxa"/>
          </w:tcPr>
          <w:p w14:paraId="57F818E4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DFD7F0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6C0EB9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57 700</w:t>
            </w:r>
          </w:p>
        </w:tc>
        <w:tc>
          <w:tcPr>
            <w:tcW w:w="993" w:type="dxa"/>
          </w:tcPr>
          <w:p w14:paraId="557D7E56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82 300</w:t>
            </w:r>
          </w:p>
        </w:tc>
        <w:tc>
          <w:tcPr>
            <w:tcW w:w="1134" w:type="dxa"/>
          </w:tcPr>
          <w:p w14:paraId="4A648CBF" w14:textId="79F57E5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0B5139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B5139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14:paraId="0E785D9F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7 300</w:t>
            </w:r>
          </w:p>
        </w:tc>
        <w:tc>
          <w:tcPr>
            <w:tcW w:w="567" w:type="dxa"/>
          </w:tcPr>
          <w:p w14:paraId="3AAC5542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</w:tc>
      </w:tr>
    </w:tbl>
    <w:p w14:paraId="094D4C72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0AA032A3" w14:textId="4D31A6E1" w:rsidR="00CC1EF3" w:rsidRDefault="005B32D5" w:rsidP="005B32D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jc w:val="both"/>
        <w:rPr>
          <w:sz w:val="24"/>
          <w:szCs w:val="24"/>
        </w:rPr>
      </w:pPr>
      <w:r w:rsidRPr="00BE0CFA">
        <w:rPr>
          <w:sz w:val="24"/>
          <w:szCs w:val="24"/>
        </w:rPr>
        <w:t>Šis sprendimas per vieną mėnesį nuo jo įteikimo arba paskelbimo dienos gali būti skundžiamas Lietuvos administracinių ginčų komisijos Kauno apygardos skyriui (Kaunas, Laisvės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al.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36, LT</w:t>
      </w:r>
      <w:r>
        <w:rPr>
          <w:sz w:val="24"/>
          <w:szCs w:val="24"/>
        </w:rPr>
        <w:noBreakHyphen/>
      </w:r>
      <w:r w:rsidRPr="00BE0CFA">
        <w:rPr>
          <w:sz w:val="24"/>
          <w:szCs w:val="24"/>
        </w:rPr>
        <w:t xml:space="preserve">44240) Lietuvos </w:t>
      </w:r>
      <w:r w:rsidRPr="005B32D5">
        <w:rPr>
          <w:sz w:val="24"/>
          <w:szCs w:val="24"/>
        </w:rPr>
        <w:t xml:space="preserve">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5B32D5">
          <w:rPr>
            <w:rStyle w:val="Hipersaitas"/>
            <w:color w:val="auto"/>
            <w:sz w:val="24"/>
            <w:szCs w:val="24"/>
            <w:u w:val="none"/>
          </w:rPr>
          <w:t>https://e.teismas.lt</w:t>
        </w:r>
      </w:hyperlink>
      <w:r w:rsidRPr="005B32D5">
        <w:rPr>
          <w:sz w:val="24"/>
          <w:szCs w:val="24"/>
        </w:rPr>
        <w:t xml:space="preserve"> arba adresu: Vilnius, Žygimantų g. 2, LT</w:t>
      </w:r>
      <w:r w:rsidRPr="005B32D5">
        <w:rPr>
          <w:sz w:val="24"/>
          <w:szCs w:val="24"/>
        </w:rPr>
        <w:noBreakHyphen/>
        <w:t>01102, arba Kaunas, A. Mickevičiaus g. 8A, LT</w:t>
      </w:r>
      <w:r w:rsidRPr="005B32D5">
        <w:rPr>
          <w:sz w:val="24"/>
          <w:szCs w:val="24"/>
        </w:rPr>
        <w:noBreakHyphen/>
        <w:t xml:space="preserve">44312, arba </w:t>
      </w:r>
      <w:r w:rsidRPr="00BE0CFA">
        <w:rPr>
          <w:sz w:val="24"/>
          <w:szCs w:val="24"/>
        </w:rPr>
        <w:t>Klaipėda, Galinio Pylimo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g.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9, LT</w:t>
      </w:r>
      <w:r>
        <w:rPr>
          <w:sz w:val="24"/>
          <w:szCs w:val="24"/>
        </w:rPr>
        <w:noBreakHyphen/>
      </w:r>
      <w:r w:rsidRPr="00BE0CFA">
        <w:rPr>
          <w:sz w:val="24"/>
          <w:szCs w:val="24"/>
        </w:rPr>
        <w:t>91230, arba Šiauliai, Dvaro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g.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80, LT</w:t>
      </w:r>
      <w:r>
        <w:rPr>
          <w:sz w:val="24"/>
          <w:szCs w:val="24"/>
        </w:rPr>
        <w:noBreakHyphen/>
      </w:r>
      <w:r w:rsidRPr="00BE0CFA">
        <w:rPr>
          <w:sz w:val="24"/>
          <w:szCs w:val="24"/>
        </w:rPr>
        <w:t>76298, arba Panevėžys, Respublikos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g.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62, LT</w:t>
      </w:r>
      <w:r>
        <w:rPr>
          <w:sz w:val="24"/>
          <w:szCs w:val="24"/>
        </w:rPr>
        <w:noBreakHyphen/>
      </w:r>
      <w:r w:rsidRPr="00BE0CFA">
        <w:rPr>
          <w:sz w:val="24"/>
          <w:szCs w:val="24"/>
        </w:rPr>
        <w:t>35158) Lietuvos Respublikos administracinių bylų teisenos įstatymo nustatyta tvarka</w:t>
      </w:r>
      <w:r w:rsidR="00CC1EF3" w:rsidRPr="00CC1EF3">
        <w:rPr>
          <w:sz w:val="24"/>
          <w:szCs w:val="24"/>
        </w:rPr>
        <w:t>.</w:t>
      </w:r>
    </w:p>
    <w:p w14:paraId="35301784" w14:textId="77777777" w:rsidR="004731DF" w:rsidRDefault="004731DF" w:rsidP="004731DF">
      <w:pPr>
        <w:jc w:val="both"/>
        <w:rPr>
          <w:sz w:val="24"/>
          <w:szCs w:val="24"/>
        </w:rPr>
      </w:pPr>
    </w:p>
    <w:p w14:paraId="11030231" w14:textId="77777777" w:rsidR="004731DF" w:rsidRPr="002F77D6" w:rsidRDefault="004731DF" w:rsidP="004731DF">
      <w:pPr>
        <w:jc w:val="both"/>
        <w:rPr>
          <w:sz w:val="24"/>
          <w:szCs w:val="24"/>
        </w:rPr>
      </w:pPr>
    </w:p>
    <w:p w14:paraId="3B77C01B" w14:textId="77777777" w:rsidR="004731DF" w:rsidRPr="002F77D6" w:rsidRDefault="004731DF" w:rsidP="004731DF">
      <w:pPr>
        <w:pStyle w:val="Betarp"/>
        <w:rPr>
          <w:color w:val="FF0000"/>
          <w:sz w:val="24"/>
          <w:szCs w:val="24"/>
          <w:lang w:val="lt-LT" w:eastAsia="en-US"/>
        </w:rPr>
      </w:pPr>
      <w:proofErr w:type="spellStart"/>
      <w:r w:rsidRPr="002F77D6">
        <w:rPr>
          <w:sz w:val="24"/>
          <w:szCs w:val="24"/>
        </w:rPr>
        <w:t>Savivaldybės</w:t>
      </w:r>
      <w:proofErr w:type="spellEnd"/>
      <w:r w:rsidRPr="002F77D6">
        <w:rPr>
          <w:sz w:val="24"/>
          <w:szCs w:val="24"/>
        </w:rPr>
        <w:t xml:space="preserve"> </w:t>
      </w:r>
      <w:proofErr w:type="spellStart"/>
      <w:r w:rsidRPr="002F77D6">
        <w:rPr>
          <w:sz w:val="24"/>
          <w:szCs w:val="24"/>
        </w:rPr>
        <w:t>meras</w:t>
      </w:r>
      <w:proofErr w:type="spellEnd"/>
      <w:r w:rsidRPr="002F77D6">
        <w:rPr>
          <w:sz w:val="24"/>
          <w:szCs w:val="24"/>
        </w:rPr>
        <w:tab/>
      </w:r>
    </w:p>
    <w:p w14:paraId="7C11AF63" w14:textId="77777777" w:rsidR="004731DF" w:rsidRPr="002F77D6" w:rsidRDefault="004731DF" w:rsidP="004731DF">
      <w:pPr>
        <w:pStyle w:val="Betarp"/>
        <w:rPr>
          <w:color w:val="FF0000"/>
          <w:sz w:val="24"/>
          <w:szCs w:val="24"/>
          <w:lang w:val="lt-LT" w:eastAsia="en-US"/>
        </w:rPr>
      </w:pPr>
    </w:p>
    <w:p w14:paraId="4D82522A" w14:textId="77777777" w:rsidR="004731DF" w:rsidRPr="002F77D6" w:rsidRDefault="004731DF" w:rsidP="004731DF">
      <w:pPr>
        <w:pStyle w:val="Betarp"/>
        <w:rPr>
          <w:color w:val="FF0000"/>
          <w:sz w:val="24"/>
          <w:szCs w:val="24"/>
          <w:lang w:val="lt-LT" w:eastAsia="en-US"/>
        </w:rPr>
      </w:pPr>
    </w:p>
    <w:p w14:paraId="1B96F000" w14:textId="77777777" w:rsidR="004731DF" w:rsidRDefault="004731DF" w:rsidP="004731DF"/>
    <w:p w14:paraId="0881E235" w14:textId="77777777" w:rsidR="004731DF" w:rsidRDefault="004731DF" w:rsidP="004731DF"/>
    <w:p w14:paraId="79CFB330" w14:textId="77777777" w:rsidR="004731DF" w:rsidRDefault="004731DF" w:rsidP="004731DF"/>
    <w:p w14:paraId="301A3186" w14:textId="77777777" w:rsidR="004731DF" w:rsidRDefault="004731DF" w:rsidP="004731DF"/>
    <w:p w14:paraId="77EAA988" w14:textId="77777777" w:rsidR="004731DF" w:rsidRDefault="004731DF" w:rsidP="004731DF"/>
    <w:p w14:paraId="0076CE08" w14:textId="77777777" w:rsidR="004731DF" w:rsidRDefault="004731DF" w:rsidP="004731DF">
      <w:pPr>
        <w:jc w:val="center"/>
        <w:rPr>
          <w:sz w:val="24"/>
          <w:szCs w:val="24"/>
          <w:lang w:eastAsia="en-US"/>
        </w:rPr>
      </w:pPr>
    </w:p>
    <w:p w14:paraId="68CAB3B0" w14:textId="77777777" w:rsidR="004731DF" w:rsidRDefault="004731DF" w:rsidP="004731DF">
      <w:pPr>
        <w:jc w:val="center"/>
        <w:rPr>
          <w:sz w:val="24"/>
          <w:szCs w:val="24"/>
          <w:lang w:eastAsia="en-US"/>
        </w:rPr>
      </w:pPr>
    </w:p>
    <w:p w14:paraId="405F4ED7" w14:textId="77777777" w:rsidR="004731DF" w:rsidRDefault="004731DF" w:rsidP="004731DF">
      <w:pPr>
        <w:ind w:firstLine="851"/>
        <w:jc w:val="both"/>
        <w:rPr>
          <w:sz w:val="24"/>
          <w:szCs w:val="24"/>
        </w:rPr>
        <w:sectPr w:rsidR="004731DF" w:rsidSect="00C23D90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14:paraId="7FA37777" w14:textId="77777777" w:rsidR="005E6A0E" w:rsidRDefault="005E6A0E" w:rsidP="004731DF">
      <w:pPr>
        <w:pStyle w:val="Betarp"/>
        <w:rPr>
          <w:sz w:val="24"/>
          <w:szCs w:val="24"/>
          <w:lang w:val="lt-LT" w:eastAsia="en-US"/>
        </w:rPr>
      </w:pPr>
    </w:p>
    <w:p w14:paraId="23607489" w14:textId="607EE852" w:rsidR="004731DF" w:rsidRPr="002F77D6" w:rsidRDefault="004731DF" w:rsidP="004731DF">
      <w:pPr>
        <w:pStyle w:val="Betarp"/>
        <w:rPr>
          <w:sz w:val="24"/>
          <w:szCs w:val="24"/>
          <w:lang w:val="lt-LT" w:eastAsia="en-US"/>
        </w:rPr>
      </w:pPr>
      <w:r w:rsidRPr="002F77D6">
        <w:rPr>
          <w:sz w:val="24"/>
          <w:szCs w:val="24"/>
          <w:lang w:val="lt-LT" w:eastAsia="en-US"/>
        </w:rPr>
        <w:t>Kėdainių rajono savivaldybės tarybai</w:t>
      </w:r>
    </w:p>
    <w:p w14:paraId="46636ADC" w14:textId="77777777" w:rsidR="004731DF" w:rsidRPr="002F77D6" w:rsidRDefault="004731DF" w:rsidP="004731DF">
      <w:pPr>
        <w:pStyle w:val="Betarp"/>
        <w:rPr>
          <w:color w:val="FF0000"/>
          <w:sz w:val="24"/>
          <w:szCs w:val="24"/>
          <w:lang w:val="lt-LT" w:eastAsia="en-US"/>
        </w:rPr>
      </w:pPr>
      <w:r w:rsidRPr="002F77D6">
        <w:rPr>
          <w:color w:val="FF0000"/>
          <w:sz w:val="24"/>
          <w:szCs w:val="24"/>
          <w:lang w:val="lt-LT" w:eastAsia="en-US"/>
        </w:rPr>
        <w:t xml:space="preserve">       </w:t>
      </w:r>
    </w:p>
    <w:p w14:paraId="6F075183" w14:textId="77777777" w:rsidR="004731DF" w:rsidRPr="002F77D6" w:rsidRDefault="004731DF" w:rsidP="004731DF">
      <w:pPr>
        <w:suppressAutoHyphens/>
        <w:ind w:left="284"/>
        <w:jc w:val="center"/>
        <w:rPr>
          <w:b/>
          <w:sz w:val="24"/>
          <w:szCs w:val="24"/>
          <w:lang w:eastAsia="ar-SA"/>
        </w:rPr>
      </w:pPr>
      <w:r w:rsidRPr="002F77D6">
        <w:rPr>
          <w:b/>
          <w:sz w:val="24"/>
          <w:szCs w:val="24"/>
          <w:lang w:eastAsia="ar-SA"/>
        </w:rPr>
        <w:t>AIŠKINAMASIS RAŠTAS</w:t>
      </w:r>
    </w:p>
    <w:p w14:paraId="06CEF565" w14:textId="77777777" w:rsidR="004731DF" w:rsidRDefault="004731DF" w:rsidP="00C51590">
      <w:pPr>
        <w:suppressAutoHyphens/>
        <w:jc w:val="center"/>
        <w:rPr>
          <w:rFonts w:eastAsia="Andale Sans UI"/>
          <w:b/>
          <w:bCs/>
          <w:kern w:val="1"/>
          <w:sz w:val="24"/>
          <w:szCs w:val="24"/>
          <w:lang w:eastAsia="ar-SA"/>
        </w:rPr>
      </w:pPr>
      <w:r w:rsidRPr="006E6095">
        <w:rPr>
          <w:rFonts w:eastAsia="Andale Sans UI"/>
          <w:b/>
          <w:bCs/>
          <w:kern w:val="1"/>
          <w:sz w:val="24"/>
          <w:szCs w:val="24"/>
        </w:rPr>
        <w:t>DĖL KĖDAINIŲ RAJONO SAVIVALDYBĖS TARYBOS 2023 M. GRUODŽIO 22 D.</w:t>
      </w:r>
      <w:r>
        <w:rPr>
          <w:rFonts w:eastAsia="Andale Sans UI"/>
          <w:b/>
          <w:bCs/>
          <w:kern w:val="1"/>
          <w:sz w:val="24"/>
          <w:szCs w:val="24"/>
        </w:rPr>
        <w:t xml:space="preserve"> </w:t>
      </w:r>
      <w:r w:rsidRPr="006E6095">
        <w:rPr>
          <w:rFonts w:eastAsia="Andale Sans UI"/>
          <w:b/>
          <w:bCs/>
          <w:kern w:val="1"/>
          <w:sz w:val="24"/>
          <w:szCs w:val="24"/>
        </w:rPr>
        <w:t xml:space="preserve">SPRENDIMO NR. TS-359  „DĖL KĖDAINIŲ RAJONO SAVIVALDYBĖS </w:t>
      </w:r>
      <w:r>
        <w:rPr>
          <w:rFonts w:eastAsia="Andale Sans UI"/>
          <w:b/>
          <w:bCs/>
          <w:kern w:val="1"/>
          <w:sz w:val="24"/>
          <w:szCs w:val="24"/>
        </w:rPr>
        <w:t>P</w:t>
      </w:r>
      <w:r w:rsidRPr="006E6095">
        <w:rPr>
          <w:rFonts w:eastAsia="Andale Sans UI"/>
          <w:b/>
          <w:bCs/>
          <w:kern w:val="1"/>
          <w:sz w:val="24"/>
          <w:szCs w:val="24"/>
        </w:rPr>
        <w:t>RIKLAUSOMYBĘ SUKELIANČIŲ MEDŽIAGŲ VARTOJIMO MAŽINIMO IR PREVENCIJOS 2024−2027 METŲ PROGRAMOS PATVIRTINIMO“ PAKEITIMO</w:t>
      </w:r>
    </w:p>
    <w:p w14:paraId="4CA8DF42" w14:textId="139ABD3A" w:rsidR="004731DF" w:rsidRPr="002F77D6" w:rsidRDefault="004731DF" w:rsidP="004731DF">
      <w:pPr>
        <w:suppressAutoHyphens/>
        <w:ind w:left="284"/>
        <w:jc w:val="center"/>
        <w:rPr>
          <w:sz w:val="24"/>
          <w:szCs w:val="24"/>
          <w:lang w:eastAsia="ar-SA"/>
        </w:rPr>
      </w:pPr>
      <w:r w:rsidRPr="002F77D6">
        <w:rPr>
          <w:sz w:val="24"/>
          <w:szCs w:val="24"/>
          <w:lang w:eastAsia="ar-SA"/>
        </w:rPr>
        <w:t>202</w:t>
      </w:r>
      <w:r w:rsidR="00C51590">
        <w:rPr>
          <w:sz w:val="24"/>
          <w:szCs w:val="24"/>
          <w:lang w:eastAsia="ar-SA"/>
        </w:rPr>
        <w:t>6</w:t>
      </w:r>
      <w:r w:rsidRPr="002F77D6">
        <w:rPr>
          <w:sz w:val="24"/>
          <w:szCs w:val="24"/>
          <w:lang w:eastAsia="ar-SA"/>
        </w:rPr>
        <w:t>-</w:t>
      </w:r>
      <w:r>
        <w:rPr>
          <w:sz w:val="24"/>
          <w:szCs w:val="24"/>
          <w:lang w:eastAsia="ar-SA"/>
        </w:rPr>
        <w:t>03</w:t>
      </w:r>
      <w:r w:rsidRPr="002F77D6">
        <w:rPr>
          <w:sz w:val="24"/>
          <w:szCs w:val="24"/>
          <w:lang w:eastAsia="ar-SA"/>
        </w:rPr>
        <w:t>-</w:t>
      </w:r>
    </w:p>
    <w:p w14:paraId="0589D054" w14:textId="77777777" w:rsidR="004731DF" w:rsidRPr="002F77D6" w:rsidRDefault="004731DF" w:rsidP="004731DF">
      <w:pPr>
        <w:suppressAutoHyphens/>
        <w:ind w:left="284"/>
        <w:jc w:val="center"/>
        <w:rPr>
          <w:sz w:val="24"/>
          <w:szCs w:val="24"/>
          <w:lang w:eastAsia="ar-SA"/>
        </w:rPr>
      </w:pPr>
      <w:r w:rsidRPr="002F77D6">
        <w:rPr>
          <w:sz w:val="24"/>
          <w:szCs w:val="24"/>
          <w:lang w:eastAsia="ar-SA"/>
        </w:rPr>
        <w:t>Kėdainiai</w:t>
      </w:r>
    </w:p>
    <w:p w14:paraId="1309E8D5" w14:textId="77777777" w:rsidR="004731DF" w:rsidRPr="002F77D6" w:rsidRDefault="004731DF" w:rsidP="004731DF">
      <w:pPr>
        <w:suppressAutoHyphens/>
        <w:ind w:firstLine="709"/>
        <w:jc w:val="both"/>
        <w:rPr>
          <w:b/>
          <w:color w:val="FF0000"/>
          <w:sz w:val="24"/>
          <w:szCs w:val="24"/>
        </w:rPr>
      </w:pPr>
    </w:p>
    <w:p w14:paraId="7E35DD56" w14:textId="77777777" w:rsidR="004731DF" w:rsidRPr="002F77D6" w:rsidRDefault="004731DF" w:rsidP="004731DF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2F77D6">
        <w:rPr>
          <w:b/>
          <w:sz w:val="24"/>
          <w:szCs w:val="24"/>
        </w:rPr>
        <w:t>Parengto sprendimo projekto tikslai:</w:t>
      </w:r>
      <w:r w:rsidRPr="002F77D6">
        <w:rPr>
          <w:sz w:val="24"/>
          <w:szCs w:val="24"/>
          <w:lang w:eastAsia="ar-SA"/>
        </w:rPr>
        <w:t xml:space="preserve"> </w:t>
      </w:r>
    </w:p>
    <w:p w14:paraId="737921A7" w14:textId="1D880835" w:rsidR="004731DF" w:rsidRDefault="004731DF" w:rsidP="004731DF">
      <w:pPr>
        <w:suppressAutoHyphens/>
        <w:ind w:firstLine="709"/>
        <w:jc w:val="both"/>
        <w:rPr>
          <w:sz w:val="24"/>
          <w:szCs w:val="24"/>
        </w:rPr>
      </w:pPr>
      <w:bookmarkStart w:id="6" w:name="_Hlk103674762"/>
      <w:r w:rsidRPr="00387729">
        <w:rPr>
          <w:sz w:val="24"/>
          <w:szCs w:val="24"/>
        </w:rPr>
        <w:t xml:space="preserve">Pakeisti </w:t>
      </w:r>
      <w:bookmarkEnd w:id="6"/>
      <w:r w:rsidRPr="00387729">
        <w:rPr>
          <w:sz w:val="24"/>
          <w:szCs w:val="24"/>
        </w:rPr>
        <w:t>Kėdainių rajono savivaldybės priklausomybę sukeliančių medžiagų vartojimo mažinimo ir prevencijos 2024−2027 metų programos</w:t>
      </w:r>
      <w:r w:rsidRPr="00387729">
        <w:t xml:space="preserve"> </w:t>
      </w:r>
      <w:r w:rsidRPr="00387729">
        <w:rPr>
          <w:sz w:val="24"/>
          <w:szCs w:val="24"/>
        </w:rPr>
        <w:t xml:space="preserve">priedo </w:t>
      </w:r>
      <w:r>
        <w:rPr>
          <w:sz w:val="24"/>
          <w:szCs w:val="24"/>
        </w:rPr>
        <w:t xml:space="preserve">1.2, </w:t>
      </w:r>
      <w:r w:rsidR="00652C4D">
        <w:rPr>
          <w:sz w:val="24"/>
          <w:szCs w:val="24"/>
        </w:rPr>
        <w:t xml:space="preserve">1.9, 2.2, </w:t>
      </w:r>
      <w:r>
        <w:rPr>
          <w:sz w:val="24"/>
          <w:szCs w:val="24"/>
        </w:rPr>
        <w:t xml:space="preserve">2.3, </w:t>
      </w:r>
      <w:r w:rsidR="00652C4D">
        <w:rPr>
          <w:sz w:val="24"/>
          <w:szCs w:val="24"/>
        </w:rPr>
        <w:t xml:space="preserve">2.5, </w:t>
      </w:r>
      <w:r>
        <w:rPr>
          <w:sz w:val="24"/>
          <w:szCs w:val="24"/>
        </w:rPr>
        <w:t>2.6</w:t>
      </w:r>
      <w:r w:rsidR="00D55628">
        <w:rPr>
          <w:sz w:val="24"/>
          <w:szCs w:val="24"/>
        </w:rPr>
        <w:t>, 5.1</w:t>
      </w:r>
      <w:r>
        <w:rPr>
          <w:sz w:val="24"/>
          <w:szCs w:val="24"/>
        </w:rPr>
        <w:t xml:space="preserve"> punktus ir </w:t>
      </w:r>
      <w:r w:rsidRPr="006675E7">
        <w:rPr>
          <w:sz w:val="24"/>
          <w:szCs w:val="24"/>
        </w:rPr>
        <w:t>paskutiniąją pastraipą</w:t>
      </w:r>
      <w:r>
        <w:rPr>
          <w:sz w:val="24"/>
          <w:szCs w:val="24"/>
        </w:rPr>
        <w:t>.</w:t>
      </w:r>
    </w:p>
    <w:p w14:paraId="090CF5CA" w14:textId="77777777" w:rsidR="004731DF" w:rsidRPr="00387729" w:rsidRDefault="004731DF" w:rsidP="004731DF">
      <w:pPr>
        <w:suppressAutoHyphens/>
        <w:ind w:firstLine="709"/>
        <w:jc w:val="both"/>
        <w:rPr>
          <w:b/>
          <w:sz w:val="24"/>
          <w:szCs w:val="24"/>
        </w:rPr>
      </w:pPr>
      <w:r w:rsidRPr="00387729">
        <w:rPr>
          <w:b/>
          <w:sz w:val="24"/>
          <w:szCs w:val="24"/>
        </w:rPr>
        <w:t>Sprendimo projekto esmė</w:t>
      </w:r>
      <w:r w:rsidRPr="00387729">
        <w:rPr>
          <w:sz w:val="24"/>
          <w:szCs w:val="24"/>
        </w:rPr>
        <w:t xml:space="preserve">, </w:t>
      </w:r>
      <w:r w:rsidRPr="00387729">
        <w:rPr>
          <w:b/>
          <w:sz w:val="24"/>
          <w:szCs w:val="24"/>
        </w:rPr>
        <w:t xml:space="preserve">rengimo priežastys ir motyvai: </w:t>
      </w:r>
    </w:p>
    <w:p w14:paraId="513DEC12" w14:textId="294C9CF4" w:rsidR="004731DF" w:rsidRPr="00C679E7" w:rsidRDefault="004731DF" w:rsidP="00D17B98">
      <w:pPr>
        <w:pStyle w:val="Betarp"/>
        <w:ind w:firstLine="709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Kėdainių rajono savivaldybės tarybai pritarus K</w:t>
      </w:r>
      <w:r w:rsidRPr="00C679E7">
        <w:rPr>
          <w:sz w:val="24"/>
          <w:szCs w:val="24"/>
          <w:lang w:val="lt-LT" w:eastAsia="lt-LT"/>
        </w:rPr>
        <w:t>ėdainių rajono savivaldybės 202</w:t>
      </w:r>
      <w:r w:rsidR="00B87AD3">
        <w:rPr>
          <w:sz w:val="24"/>
          <w:szCs w:val="24"/>
          <w:lang w:val="lt-LT" w:eastAsia="lt-LT"/>
        </w:rPr>
        <w:t>6</w:t>
      </w:r>
      <w:r w:rsidRPr="00C679E7">
        <w:rPr>
          <w:sz w:val="24"/>
          <w:szCs w:val="24"/>
          <w:lang w:val="lt-LT" w:eastAsia="lt-LT"/>
        </w:rPr>
        <w:t>–202</w:t>
      </w:r>
      <w:r w:rsidR="00B87AD3">
        <w:rPr>
          <w:sz w:val="24"/>
          <w:szCs w:val="24"/>
          <w:lang w:val="lt-LT" w:eastAsia="lt-LT"/>
        </w:rPr>
        <w:t>8</w:t>
      </w:r>
      <w:r w:rsidRPr="00C679E7">
        <w:rPr>
          <w:sz w:val="24"/>
          <w:szCs w:val="24"/>
          <w:lang w:val="lt-LT" w:eastAsia="lt-LT"/>
        </w:rPr>
        <w:t xml:space="preserve"> metų strateginio veiklos plan</w:t>
      </w:r>
      <w:r>
        <w:rPr>
          <w:sz w:val="24"/>
          <w:szCs w:val="24"/>
          <w:lang w:val="lt-LT" w:eastAsia="lt-LT"/>
        </w:rPr>
        <w:t xml:space="preserve">ui, patvirtintam Kėdainių rajono savivaldybės tarybos </w:t>
      </w:r>
      <w:r w:rsidRPr="00436B9B">
        <w:rPr>
          <w:sz w:val="24"/>
          <w:szCs w:val="24"/>
          <w:lang w:val="lt-LT" w:eastAsia="lt-LT"/>
        </w:rPr>
        <w:t>202</w:t>
      </w:r>
      <w:r w:rsidR="00B87AD3">
        <w:rPr>
          <w:sz w:val="24"/>
          <w:szCs w:val="24"/>
          <w:lang w:val="lt-LT" w:eastAsia="lt-LT"/>
        </w:rPr>
        <w:t>6</w:t>
      </w:r>
      <w:r w:rsidRPr="00436B9B">
        <w:rPr>
          <w:sz w:val="24"/>
          <w:szCs w:val="24"/>
          <w:lang w:val="lt-LT" w:eastAsia="lt-LT"/>
        </w:rPr>
        <w:t xml:space="preserve"> m. vasario </w:t>
      </w:r>
      <w:r w:rsidR="00B87AD3">
        <w:rPr>
          <w:sz w:val="24"/>
          <w:szCs w:val="24"/>
          <w:lang w:val="lt-LT" w:eastAsia="lt-LT"/>
        </w:rPr>
        <w:t>20</w:t>
      </w:r>
      <w:r w:rsidRPr="00436B9B">
        <w:rPr>
          <w:sz w:val="24"/>
          <w:szCs w:val="24"/>
          <w:lang w:val="lt-LT" w:eastAsia="lt-LT"/>
        </w:rPr>
        <w:t xml:space="preserve"> d. </w:t>
      </w:r>
      <w:r>
        <w:rPr>
          <w:sz w:val="24"/>
          <w:szCs w:val="24"/>
          <w:lang w:val="lt-LT" w:eastAsia="lt-LT"/>
        </w:rPr>
        <w:t xml:space="preserve">sprendimu </w:t>
      </w:r>
      <w:r w:rsidRPr="00436B9B">
        <w:rPr>
          <w:sz w:val="24"/>
          <w:szCs w:val="24"/>
          <w:lang w:val="lt-LT" w:eastAsia="lt-LT"/>
        </w:rPr>
        <w:t>Nr. TS-</w:t>
      </w:r>
      <w:r w:rsidR="00CC5290">
        <w:rPr>
          <w:sz w:val="24"/>
          <w:szCs w:val="24"/>
          <w:lang w:val="lt-LT" w:eastAsia="lt-LT"/>
        </w:rPr>
        <w:t>33</w:t>
      </w:r>
      <w:r>
        <w:rPr>
          <w:sz w:val="24"/>
          <w:szCs w:val="24"/>
          <w:lang w:val="lt-LT" w:eastAsia="lt-LT"/>
        </w:rPr>
        <w:t xml:space="preserve"> </w:t>
      </w:r>
      <w:r w:rsidRPr="00436B9B">
        <w:rPr>
          <w:sz w:val="24"/>
          <w:szCs w:val="24"/>
          <w:lang w:val="lt-LT" w:eastAsia="lt-LT"/>
        </w:rPr>
        <w:t>„</w:t>
      </w:r>
      <w:proofErr w:type="spellStart"/>
      <w:r w:rsidR="00B87AD3">
        <w:rPr>
          <w:color w:val="22252A"/>
          <w:sz w:val="24"/>
          <w:szCs w:val="24"/>
          <w:shd w:val="clear" w:color="auto" w:fill="FFFFFF"/>
        </w:rPr>
        <w:t>D</w:t>
      </w:r>
      <w:r w:rsidR="00B87AD3" w:rsidRPr="00B87AD3">
        <w:rPr>
          <w:color w:val="22252A"/>
          <w:sz w:val="24"/>
          <w:szCs w:val="24"/>
          <w:shd w:val="clear" w:color="auto" w:fill="FFFFFF"/>
        </w:rPr>
        <w:t>ėl</w:t>
      </w:r>
      <w:proofErr w:type="spellEnd"/>
      <w:r w:rsidR="00B87AD3" w:rsidRPr="00B87AD3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B87AD3">
        <w:rPr>
          <w:color w:val="22252A"/>
          <w:sz w:val="24"/>
          <w:szCs w:val="24"/>
          <w:shd w:val="clear" w:color="auto" w:fill="FFFFFF"/>
        </w:rPr>
        <w:t>K</w:t>
      </w:r>
      <w:r w:rsidR="00B87AD3" w:rsidRPr="00B87AD3">
        <w:rPr>
          <w:color w:val="22252A"/>
          <w:sz w:val="24"/>
          <w:szCs w:val="24"/>
          <w:shd w:val="clear" w:color="auto" w:fill="FFFFFF"/>
        </w:rPr>
        <w:t>ėdainių</w:t>
      </w:r>
      <w:proofErr w:type="spellEnd"/>
      <w:r w:rsidR="00B87AD3" w:rsidRPr="00B87AD3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B87AD3" w:rsidRPr="00B87AD3">
        <w:rPr>
          <w:color w:val="22252A"/>
          <w:sz w:val="24"/>
          <w:szCs w:val="24"/>
          <w:shd w:val="clear" w:color="auto" w:fill="FFFFFF"/>
        </w:rPr>
        <w:t>rajono</w:t>
      </w:r>
      <w:proofErr w:type="spellEnd"/>
      <w:r w:rsidR="00B87AD3" w:rsidRPr="00B87AD3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B87AD3" w:rsidRPr="00B87AD3">
        <w:rPr>
          <w:color w:val="22252A"/>
          <w:sz w:val="24"/>
          <w:szCs w:val="24"/>
          <w:shd w:val="clear" w:color="auto" w:fill="FFFFFF"/>
        </w:rPr>
        <w:t>savivaldybės</w:t>
      </w:r>
      <w:proofErr w:type="spellEnd"/>
      <w:r w:rsidR="00B87AD3" w:rsidRPr="00B87AD3">
        <w:rPr>
          <w:color w:val="22252A"/>
          <w:sz w:val="24"/>
          <w:szCs w:val="24"/>
          <w:shd w:val="clear" w:color="auto" w:fill="FFFFFF"/>
        </w:rPr>
        <w:t xml:space="preserve"> 2026–2028 </w:t>
      </w:r>
      <w:proofErr w:type="spellStart"/>
      <w:r w:rsidR="00B87AD3" w:rsidRPr="00B87AD3">
        <w:rPr>
          <w:color w:val="22252A"/>
          <w:sz w:val="24"/>
          <w:szCs w:val="24"/>
          <w:shd w:val="clear" w:color="auto" w:fill="FFFFFF"/>
        </w:rPr>
        <w:t>met</w:t>
      </w:r>
      <w:r w:rsidR="00B87AD3">
        <w:rPr>
          <w:color w:val="22252A"/>
          <w:sz w:val="24"/>
          <w:szCs w:val="24"/>
          <w:shd w:val="clear" w:color="auto" w:fill="FFFFFF"/>
        </w:rPr>
        <w:t>ų</w:t>
      </w:r>
      <w:proofErr w:type="spellEnd"/>
      <w:r w:rsidR="00B87AD3" w:rsidRPr="00B87AD3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B87AD3" w:rsidRPr="00B87AD3">
        <w:rPr>
          <w:color w:val="22252A"/>
          <w:sz w:val="24"/>
          <w:szCs w:val="24"/>
          <w:shd w:val="clear" w:color="auto" w:fill="FFFFFF"/>
        </w:rPr>
        <w:t>strateginio</w:t>
      </w:r>
      <w:proofErr w:type="spellEnd"/>
      <w:r w:rsidR="00B87AD3" w:rsidRPr="00B87AD3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B87AD3" w:rsidRPr="00B87AD3">
        <w:rPr>
          <w:color w:val="22252A"/>
          <w:sz w:val="24"/>
          <w:szCs w:val="24"/>
          <w:shd w:val="clear" w:color="auto" w:fill="FFFFFF"/>
        </w:rPr>
        <w:t>veiklos</w:t>
      </w:r>
      <w:proofErr w:type="spellEnd"/>
      <w:r w:rsidR="00B87AD3" w:rsidRPr="00B87AD3">
        <w:rPr>
          <w:color w:val="22252A"/>
          <w:sz w:val="24"/>
          <w:szCs w:val="24"/>
          <w:shd w:val="clear" w:color="auto" w:fill="FFFFFF"/>
        </w:rPr>
        <w:t xml:space="preserve"> plano </w:t>
      </w:r>
      <w:proofErr w:type="spellStart"/>
      <w:r w:rsidR="00B87AD3" w:rsidRPr="00B87AD3">
        <w:rPr>
          <w:color w:val="22252A"/>
          <w:sz w:val="24"/>
          <w:szCs w:val="24"/>
          <w:shd w:val="clear" w:color="auto" w:fill="FFFFFF"/>
        </w:rPr>
        <w:t>tvirtinimo</w:t>
      </w:r>
      <w:proofErr w:type="spellEnd"/>
      <w:r w:rsidRPr="00436B9B">
        <w:rPr>
          <w:sz w:val="24"/>
          <w:szCs w:val="24"/>
          <w:lang w:val="lt-LT" w:eastAsia="lt-LT"/>
        </w:rPr>
        <w:t>“</w:t>
      </w:r>
      <w:r>
        <w:rPr>
          <w:sz w:val="24"/>
          <w:szCs w:val="24"/>
          <w:lang w:val="lt-LT" w:eastAsia="lt-LT"/>
        </w:rPr>
        <w:t>, ir K</w:t>
      </w:r>
      <w:r w:rsidRPr="00C679E7">
        <w:rPr>
          <w:sz w:val="24"/>
          <w:szCs w:val="24"/>
          <w:lang w:val="lt-LT" w:eastAsia="lt-LT"/>
        </w:rPr>
        <w:t>ėdainių rajono savivaldybės 2026–202</w:t>
      </w:r>
      <w:r w:rsidR="002333DB">
        <w:rPr>
          <w:sz w:val="24"/>
          <w:szCs w:val="24"/>
          <w:lang w:val="lt-LT" w:eastAsia="lt-LT"/>
        </w:rPr>
        <w:t>8</w:t>
      </w:r>
      <w:r w:rsidRPr="00C679E7">
        <w:rPr>
          <w:sz w:val="24"/>
          <w:szCs w:val="24"/>
          <w:lang w:val="lt-LT" w:eastAsia="lt-LT"/>
        </w:rPr>
        <w:t xml:space="preserve"> metų </w:t>
      </w:r>
      <w:r w:rsidR="003C7FDE">
        <w:rPr>
          <w:sz w:val="24"/>
          <w:szCs w:val="24"/>
          <w:lang w:val="lt-LT" w:eastAsia="lt-LT"/>
        </w:rPr>
        <w:t>biudžet</w:t>
      </w:r>
      <w:r w:rsidR="004F4719">
        <w:rPr>
          <w:sz w:val="24"/>
          <w:szCs w:val="24"/>
          <w:lang w:val="lt-LT" w:eastAsia="lt-LT"/>
        </w:rPr>
        <w:t>ui</w:t>
      </w:r>
      <w:r w:rsidRPr="009D532A">
        <w:rPr>
          <w:sz w:val="24"/>
          <w:szCs w:val="24"/>
          <w:lang w:val="lt-LT" w:eastAsia="lt-LT"/>
        </w:rPr>
        <w:t>, patvirtint</w:t>
      </w:r>
      <w:r w:rsidR="004F4719">
        <w:rPr>
          <w:sz w:val="24"/>
          <w:szCs w:val="24"/>
          <w:lang w:val="lt-LT" w:eastAsia="lt-LT"/>
        </w:rPr>
        <w:t>a</w:t>
      </w:r>
      <w:r w:rsidRPr="009D532A">
        <w:rPr>
          <w:sz w:val="24"/>
          <w:szCs w:val="24"/>
          <w:lang w:val="lt-LT" w:eastAsia="lt-LT"/>
        </w:rPr>
        <w:t xml:space="preserve">m </w:t>
      </w:r>
      <w:r>
        <w:rPr>
          <w:sz w:val="24"/>
          <w:szCs w:val="24"/>
          <w:lang w:val="lt-LT" w:eastAsia="lt-LT"/>
        </w:rPr>
        <w:t xml:space="preserve">Kėdainių rajono savivaldybės tarybos </w:t>
      </w:r>
      <w:r w:rsidRPr="00436B9B">
        <w:rPr>
          <w:sz w:val="24"/>
          <w:szCs w:val="24"/>
          <w:lang w:val="lt-LT" w:eastAsia="lt-LT"/>
        </w:rPr>
        <w:t>202</w:t>
      </w:r>
      <w:r w:rsidR="00696629">
        <w:rPr>
          <w:sz w:val="24"/>
          <w:szCs w:val="24"/>
          <w:lang w:val="lt-LT" w:eastAsia="lt-LT"/>
        </w:rPr>
        <w:t>6</w:t>
      </w:r>
      <w:r w:rsidRPr="00436B9B">
        <w:rPr>
          <w:sz w:val="24"/>
          <w:szCs w:val="24"/>
          <w:lang w:val="lt-LT" w:eastAsia="lt-LT"/>
        </w:rPr>
        <w:t xml:space="preserve"> m. vasario </w:t>
      </w:r>
      <w:r w:rsidR="004F4719">
        <w:rPr>
          <w:sz w:val="24"/>
          <w:szCs w:val="24"/>
          <w:lang w:val="lt-LT" w:eastAsia="lt-LT"/>
        </w:rPr>
        <w:t>20</w:t>
      </w:r>
      <w:r w:rsidRPr="00436B9B">
        <w:rPr>
          <w:sz w:val="24"/>
          <w:szCs w:val="24"/>
          <w:lang w:val="lt-LT" w:eastAsia="lt-LT"/>
        </w:rPr>
        <w:t xml:space="preserve"> d. </w:t>
      </w:r>
      <w:r>
        <w:rPr>
          <w:sz w:val="24"/>
          <w:szCs w:val="24"/>
          <w:lang w:val="lt-LT" w:eastAsia="lt-LT"/>
        </w:rPr>
        <w:t xml:space="preserve">sprendimu </w:t>
      </w:r>
      <w:r w:rsidRPr="00436B9B">
        <w:rPr>
          <w:sz w:val="24"/>
          <w:szCs w:val="24"/>
          <w:lang w:val="lt-LT" w:eastAsia="lt-LT"/>
        </w:rPr>
        <w:t>Nr. TS-</w:t>
      </w:r>
      <w:r w:rsidR="004F4719">
        <w:rPr>
          <w:sz w:val="24"/>
          <w:szCs w:val="24"/>
          <w:lang w:val="lt-LT" w:eastAsia="lt-LT"/>
        </w:rPr>
        <w:t>36</w:t>
      </w:r>
      <w:r>
        <w:rPr>
          <w:sz w:val="24"/>
          <w:szCs w:val="24"/>
          <w:lang w:val="lt-LT" w:eastAsia="lt-LT"/>
        </w:rPr>
        <w:t xml:space="preserve"> „</w:t>
      </w:r>
      <w:proofErr w:type="spellStart"/>
      <w:r w:rsidR="00D17B98">
        <w:rPr>
          <w:color w:val="22252A"/>
          <w:sz w:val="24"/>
          <w:szCs w:val="24"/>
          <w:shd w:val="clear" w:color="auto" w:fill="FFFFFF"/>
        </w:rPr>
        <w:t>D</w:t>
      </w:r>
      <w:r w:rsidR="00D17B98" w:rsidRPr="00D17B98">
        <w:rPr>
          <w:color w:val="22252A"/>
          <w:sz w:val="24"/>
          <w:szCs w:val="24"/>
          <w:shd w:val="clear" w:color="auto" w:fill="FFFFFF"/>
        </w:rPr>
        <w:t>ėl</w:t>
      </w:r>
      <w:proofErr w:type="spellEnd"/>
      <w:r w:rsidR="00D17B98" w:rsidRPr="00D17B98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D17B98">
        <w:rPr>
          <w:color w:val="22252A"/>
          <w:sz w:val="24"/>
          <w:szCs w:val="24"/>
          <w:shd w:val="clear" w:color="auto" w:fill="FFFFFF"/>
        </w:rPr>
        <w:t>K</w:t>
      </w:r>
      <w:r w:rsidR="00D17B98" w:rsidRPr="00D17B98">
        <w:rPr>
          <w:color w:val="22252A"/>
          <w:sz w:val="24"/>
          <w:szCs w:val="24"/>
          <w:shd w:val="clear" w:color="auto" w:fill="FFFFFF"/>
        </w:rPr>
        <w:t>ėdainių</w:t>
      </w:r>
      <w:proofErr w:type="spellEnd"/>
      <w:r w:rsidR="00D17B98" w:rsidRPr="00D17B98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D17B98" w:rsidRPr="00D17B98">
        <w:rPr>
          <w:color w:val="22252A"/>
          <w:sz w:val="24"/>
          <w:szCs w:val="24"/>
          <w:shd w:val="clear" w:color="auto" w:fill="FFFFFF"/>
        </w:rPr>
        <w:t>rajono</w:t>
      </w:r>
      <w:proofErr w:type="spellEnd"/>
      <w:r w:rsidR="00D17B98" w:rsidRPr="00D17B98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D17B98" w:rsidRPr="00D17B98">
        <w:rPr>
          <w:color w:val="22252A"/>
          <w:sz w:val="24"/>
          <w:szCs w:val="24"/>
          <w:shd w:val="clear" w:color="auto" w:fill="FFFFFF"/>
        </w:rPr>
        <w:t>savivaldybės</w:t>
      </w:r>
      <w:proofErr w:type="spellEnd"/>
      <w:r w:rsidR="00D17B98" w:rsidRPr="00D17B98">
        <w:rPr>
          <w:color w:val="22252A"/>
          <w:sz w:val="24"/>
          <w:szCs w:val="24"/>
          <w:shd w:val="clear" w:color="auto" w:fill="FFFFFF"/>
        </w:rPr>
        <w:t xml:space="preserve"> 2026–2028 </w:t>
      </w:r>
      <w:proofErr w:type="spellStart"/>
      <w:r w:rsidR="00D17B98" w:rsidRPr="00D17B98">
        <w:rPr>
          <w:color w:val="22252A"/>
          <w:sz w:val="24"/>
          <w:szCs w:val="24"/>
          <w:shd w:val="clear" w:color="auto" w:fill="FFFFFF"/>
        </w:rPr>
        <w:t>met</w:t>
      </w:r>
      <w:r w:rsidR="00D17B98">
        <w:rPr>
          <w:color w:val="22252A"/>
          <w:sz w:val="24"/>
          <w:szCs w:val="24"/>
          <w:shd w:val="clear" w:color="auto" w:fill="FFFFFF"/>
        </w:rPr>
        <w:t>ų</w:t>
      </w:r>
      <w:proofErr w:type="spellEnd"/>
      <w:r w:rsidR="00D17B98" w:rsidRPr="00D17B98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D17B98" w:rsidRPr="00D17B98">
        <w:rPr>
          <w:color w:val="22252A"/>
          <w:sz w:val="24"/>
          <w:szCs w:val="24"/>
          <w:shd w:val="clear" w:color="auto" w:fill="FFFFFF"/>
        </w:rPr>
        <w:t>biudžeto</w:t>
      </w:r>
      <w:proofErr w:type="spellEnd"/>
      <w:r w:rsidR="00D17B98" w:rsidRPr="00D17B98">
        <w:rPr>
          <w:color w:val="22252A"/>
          <w:sz w:val="24"/>
          <w:szCs w:val="24"/>
          <w:shd w:val="clear" w:color="auto" w:fill="FFFFFF"/>
        </w:rPr>
        <w:t xml:space="preserve"> </w:t>
      </w:r>
      <w:proofErr w:type="spellStart"/>
      <w:r w:rsidR="00D17B98" w:rsidRPr="00D17B98">
        <w:rPr>
          <w:color w:val="22252A"/>
          <w:sz w:val="24"/>
          <w:szCs w:val="24"/>
          <w:shd w:val="clear" w:color="auto" w:fill="FFFFFF"/>
        </w:rPr>
        <w:t>patvirtinimo</w:t>
      </w:r>
      <w:proofErr w:type="spellEnd"/>
      <w:r>
        <w:rPr>
          <w:sz w:val="24"/>
          <w:szCs w:val="24"/>
          <w:lang w:val="lt-LT" w:eastAsia="lt-LT"/>
        </w:rPr>
        <w:t>“, ir Kėdainių rajono savivaldybės Narkotikų kontrolės komisijai pritarus pakeitimams</w:t>
      </w:r>
      <w:r w:rsidR="002A046B">
        <w:rPr>
          <w:sz w:val="24"/>
          <w:szCs w:val="24"/>
          <w:lang w:val="lt-LT" w:eastAsia="lt-LT"/>
        </w:rPr>
        <w:t>, į</w:t>
      </w:r>
      <w:r w:rsidRPr="00C679E7">
        <w:rPr>
          <w:sz w:val="24"/>
          <w:szCs w:val="24"/>
          <w:lang w:val="lt-LT" w:eastAsia="lt-LT"/>
        </w:rPr>
        <w:t>gyvendinant Programą ir jos pakeitimus</w:t>
      </w:r>
      <w:r>
        <w:rPr>
          <w:sz w:val="24"/>
          <w:szCs w:val="24"/>
          <w:lang w:val="lt-LT" w:eastAsia="lt-LT"/>
        </w:rPr>
        <w:t>,</w:t>
      </w:r>
      <w:r w:rsidRPr="00C679E7">
        <w:rPr>
          <w:sz w:val="24"/>
          <w:szCs w:val="24"/>
          <w:lang w:val="lt-LT" w:eastAsia="lt-LT"/>
        </w:rPr>
        <w:t xml:space="preserve"> bus vykdomas organizuotas, nuoseklus ir koordinuotas prevencinis darbas, į planuojamą veiklą įtraukiantis šeimas, jaunimą, mokyklų bendruomenes, įstaigas, organizacijas, turintis didesnę sklaidą visuomenėje.</w:t>
      </w:r>
    </w:p>
    <w:p w14:paraId="4F965664" w14:textId="0ECD6F54" w:rsidR="004731DF" w:rsidRPr="006E6095" w:rsidRDefault="004731DF" w:rsidP="004731DF">
      <w:pPr>
        <w:suppressAutoHyphens/>
        <w:ind w:firstLine="709"/>
        <w:jc w:val="both"/>
        <w:rPr>
          <w:bCs/>
          <w:sz w:val="24"/>
          <w:szCs w:val="24"/>
        </w:rPr>
      </w:pPr>
      <w:r w:rsidRPr="006E6095">
        <w:rPr>
          <w:b/>
          <w:sz w:val="24"/>
          <w:szCs w:val="24"/>
        </w:rPr>
        <w:t xml:space="preserve">Lėšų poreikis (jeigu sprendimui įgyvendinti reikalingos lėšos): </w:t>
      </w:r>
      <w:r w:rsidRPr="006E6095">
        <w:rPr>
          <w:bCs/>
          <w:sz w:val="24"/>
          <w:szCs w:val="24"/>
        </w:rPr>
        <w:t>202</w:t>
      </w:r>
      <w:r w:rsidR="005E6A0E">
        <w:rPr>
          <w:bCs/>
          <w:sz w:val="24"/>
          <w:szCs w:val="24"/>
        </w:rPr>
        <w:t>6</w:t>
      </w:r>
      <w:r w:rsidRPr="006E6095">
        <w:rPr>
          <w:bCs/>
          <w:sz w:val="24"/>
          <w:szCs w:val="24"/>
        </w:rPr>
        <w:t xml:space="preserve"> m. reikalingas lėšų poreikis – 8</w:t>
      </w:r>
      <w:r w:rsidR="005E6A0E">
        <w:rPr>
          <w:bCs/>
          <w:sz w:val="24"/>
          <w:szCs w:val="24"/>
        </w:rPr>
        <w:t>9</w:t>
      </w:r>
      <w:r w:rsidRPr="006E6095">
        <w:rPr>
          <w:bCs/>
          <w:sz w:val="24"/>
          <w:szCs w:val="24"/>
        </w:rPr>
        <w:t xml:space="preserve"> </w:t>
      </w:r>
      <w:r w:rsidR="005E6A0E">
        <w:rPr>
          <w:bCs/>
          <w:sz w:val="24"/>
          <w:szCs w:val="24"/>
        </w:rPr>
        <w:t>9</w:t>
      </w:r>
      <w:r w:rsidRPr="006E6095">
        <w:rPr>
          <w:bCs/>
          <w:sz w:val="24"/>
          <w:szCs w:val="24"/>
        </w:rPr>
        <w:t xml:space="preserve">00 eurų. </w:t>
      </w:r>
    </w:p>
    <w:p w14:paraId="557D0ABA" w14:textId="77777777" w:rsidR="004731DF" w:rsidRPr="00387729" w:rsidRDefault="004731DF" w:rsidP="004731DF">
      <w:pPr>
        <w:suppressAutoHyphens/>
        <w:ind w:firstLine="709"/>
        <w:rPr>
          <w:b/>
          <w:sz w:val="24"/>
          <w:szCs w:val="24"/>
        </w:rPr>
      </w:pPr>
      <w:r w:rsidRPr="00387729">
        <w:rPr>
          <w:b/>
          <w:sz w:val="24"/>
          <w:szCs w:val="24"/>
        </w:rPr>
        <w:t>Laukiami rezultatai:</w:t>
      </w:r>
    </w:p>
    <w:p w14:paraId="39115797" w14:textId="348153F7" w:rsidR="004731DF" w:rsidRPr="00387729" w:rsidRDefault="004731DF" w:rsidP="004731DF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Bus p</w:t>
      </w:r>
      <w:r w:rsidRPr="00E52170">
        <w:rPr>
          <w:sz w:val="24"/>
          <w:szCs w:val="24"/>
        </w:rPr>
        <w:t>akeist</w:t>
      </w:r>
      <w:r>
        <w:rPr>
          <w:sz w:val="24"/>
          <w:szCs w:val="24"/>
        </w:rPr>
        <w:t>i</w:t>
      </w:r>
      <w:r w:rsidRPr="00E52170">
        <w:rPr>
          <w:sz w:val="24"/>
          <w:szCs w:val="24"/>
        </w:rPr>
        <w:t xml:space="preserve"> Kėdainių rajono savivaldybės priklausomybę sukeliančių medžiagų vartojimo mažinimo ir prevencijos 2024−2027 metų programos priedo </w:t>
      </w:r>
      <w:r w:rsidR="005E6A0E">
        <w:rPr>
          <w:sz w:val="24"/>
          <w:szCs w:val="24"/>
        </w:rPr>
        <w:t xml:space="preserve">1.2, 1.9, 2.2, 2.3, 2.5, 2.6, 5.1 </w:t>
      </w:r>
      <w:r w:rsidRPr="00497BF1">
        <w:rPr>
          <w:sz w:val="24"/>
          <w:szCs w:val="24"/>
        </w:rPr>
        <w:t>punkt</w:t>
      </w:r>
      <w:r>
        <w:rPr>
          <w:sz w:val="24"/>
          <w:szCs w:val="24"/>
        </w:rPr>
        <w:t>ai</w:t>
      </w:r>
      <w:r w:rsidRPr="00497BF1">
        <w:rPr>
          <w:sz w:val="24"/>
          <w:szCs w:val="24"/>
        </w:rPr>
        <w:t xml:space="preserve"> ir paskutini</w:t>
      </w:r>
      <w:r>
        <w:rPr>
          <w:sz w:val="24"/>
          <w:szCs w:val="24"/>
        </w:rPr>
        <w:t>oji</w:t>
      </w:r>
      <w:r w:rsidRPr="00497BF1">
        <w:rPr>
          <w:sz w:val="24"/>
          <w:szCs w:val="24"/>
        </w:rPr>
        <w:t xml:space="preserve"> pastraip</w:t>
      </w:r>
      <w:r>
        <w:rPr>
          <w:sz w:val="24"/>
          <w:szCs w:val="24"/>
        </w:rPr>
        <w:t xml:space="preserve">a, </w:t>
      </w:r>
      <w:r w:rsidRPr="009D532A">
        <w:rPr>
          <w:sz w:val="24"/>
          <w:szCs w:val="24"/>
        </w:rPr>
        <w:t>siekiant kokybiškesnio prevencinių priemonių įvykdymo</w:t>
      </w:r>
      <w:r>
        <w:rPr>
          <w:sz w:val="24"/>
          <w:szCs w:val="24"/>
        </w:rPr>
        <w:t>.</w:t>
      </w:r>
    </w:p>
    <w:p w14:paraId="695A0369" w14:textId="77777777" w:rsidR="004731DF" w:rsidRDefault="004731DF" w:rsidP="004731DF">
      <w:pPr>
        <w:suppressAutoHyphens/>
        <w:ind w:firstLine="680"/>
        <w:rPr>
          <w:b/>
          <w:bCs/>
          <w:sz w:val="24"/>
          <w:szCs w:val="24"/>
        </w:rPr>
      </w:pPr>
      <w:r w:rsidRPr="00FC081A">
        <w:rPr>
          <w:b/>
          <w:bCs/>
          <w:sz w:val="24"/>
          <w:szCs w:val="24"/>
        </w:rPr>
        <w:t>Numatomo teisinio reguliavimo poveikio vertinimas*</w:t>
      </w:r>
    </w:p>
    <w:p w14:paraId="3D41BEE4" w14:textId="77777777" w:rsidR="004731DF" w:rsidRPr="00FC081A" w:rsidRDefault="004731DF" w:rsidP="004731DF">
      <w:pPr>
        <w:suppressAutoHyphens/>
        <w:ind w:firstLine="680"/>
        <w:rPr>
          <w:b/>
          <w:bCs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4731DF" w:rsidRPr="00FC081A" w14:paraId="4F8D5CFC" w14:textId="77777777" w:rsidTr="008C60F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1250" w14:textId="77777777" w:rsidR="004731DF" w:rsidRPr="00FC081A" w:rsidRDefault="004731DF" w:rsidP="008C60F4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C081A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DC469A" w14:textId="77777777" w:rsidR="004731DF" w:rsidRPr="00FC081A" w:rsidRDefault="004731DF" w:rsidP="008C60F4">
            <w:pPr>
              <w:suppressAutoHyphens/>
              <w:rPr>
                <w:b/>
                <w:bCs/>
                <w:sz w:val="24"/>
                <w:szCs w:val="24"/>
              </w:rPr>
            </w:pPr>
            <w:r w:rsidRPr="00FC081A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4731DF" w:rsidRPr="00FC081A" w14:paraId="32ED025A" w14:textId="77777777" w:rsidTr="008C60F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4FD9E" w14:textId="77777777" w:rsidR="004731DF" w:rsidRPr="00FC081A" w:rsidRDefault="004731DF" w:rsidP="008C60F4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A0F0" w14:textId="77777777" w:rsidR="004731DF" w:rsidRPr="00FC081A" w:rsidRDefault="004731DF" w:rsidP="008C60F4">
            <w:pPr>
              <w:suppressAutoHyphens/>
              <w:rPr>
                <w:b/>
                <w:sz w:val="24"/>
                <w:szCs w:val="24"/>
              </w:rPr>
            </w:pPr>
            <w:r w:rsidRPr="00FC081A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11D9" w14:textId="77777777" w:rsidR="004731DF" w:rsidRPr="00FC081A" w:rsidRDefault="004731DF" w:rsidP="008C60F4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C081A">
              <w:rPr>
                <w:b/>
                <w:sz w:val="24"/>
                <w:szCs w:val="24"/>
              </w:rPr>
              <w:t>Neigiamas poveikis</w:t>
            </w:r>
          </w:p>
          <w:p w14:paraId="125A72A6" w14:textId="77777777" w:rsidR="004731DF" w:rsidRPr="00FC081A" w:rsidRDefault="004731DF" w:rsidP="008C60F4">
            <w:pPr>
              <w:suppressAutoHyphens/>
              <w:rPr>
                <w:b/>
                <w:i/>
                <w:sz w:val="24"/>
                <w:szCs w:val="24"/>
              </w:rPr>
            </w:pPr>
          </w:p>
        </w:tc>
      </w:tr>
      <w:tr w:rsidR="004731DF" w:rsidRPr="00FC081A" w14:paraId="7F3E487C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00B70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B23C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8CE0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  <w:tr w:rsidR="004731DF" w:rsidRPr="00FC081A" w14:paraId="1A284AC4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B875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1A46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CAFD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  <w:tr w:rsidR="004731DF" w:rsidRPr="00FC081A" w14:paraId="07F748F0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9089D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67C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2669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  <w:tr w:rsidR="004731DF" w:rsidRPr="00FC081A" w14:paraId="6F379F39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AE8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C734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F653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  <w:tr w:rsidR="004731DF" w:rsidRPr="00FC081A" w14:paraId="06DFA2C9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43C14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942C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2BB5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  <w:tr w:rsidR="004731DF" w:rsidRPr="00FC081A" w14:paraId="57B774F9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BF4D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D559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9225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  <w:tr w:rsidR="004731DF" w:rsidRPr="00FC081A" w14:paraId="4F9C1086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6500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418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776A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  <w:tr w:rsidR="004731DF" w:rsidRPr="00FC081A" w14:paraId="0535098D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B7A0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51E4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65D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  <w:tr w:rsidR="004731DF" w:rsidRPr="00FC081A" w14:paraId="45DDB4AC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C0D53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130D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D43C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  <w:tr w:rsidR="004731DF" w:rsidRPr="00FC081A" w14:paraId="04FDBBE6" w14:textId="77777777" w:rsidTr="008C60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91122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FC081A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3FB7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F457" w14:textId="77777777" w:rsidR="004731DF" w:rsidRPr="00FC081A" w:rsidRDefault="004731DF" w:rsidP="008C60F4">
            <w:pPr>
              <w:suppressAutoHyphens/>
              <w:rPr>
                <w:i/>
                <w:sz w:val="24"/>
                <w:szCs w:val="24"/>
                <w:lang w:eastAsia="ar-SA"/>
              </w:rPr>
            </w:pPr>
          </w:p>
        </w:tc>
      </w:tr>
    </w:tbl>
    <w:p w14:paraId="151E17A3" w14:textId="77777777" w:rsidR="004731DF" w:rsidRPr="00856DDE" w:rsidRDefault="004731DF" w:rsidP="004731DF">
      <w:pPr>
        <w:suppressAutoHyphens/>
        <w:jc w:val="both"/>
        <w:rPr>
          <w:lang w:eastAsia="ar-SA"/>
        </w:rPr>
      </w:pPr>
      <w:r w:rsidRPr="00856DDE">
        <w:rPr>
          <w:b/>
          <w:lang w:eastAsia="ar-SA"/>
        </w:rPr>
        <w:lastRenderedPageBreak/>
        <w:t>*</w:t>
      </w:r>
      <w:r w:rsidRPr="00856DDE">
        <w:rPr>
          <w:bCs/>
        </w:rPr>
        <w:t xml:space="preserve"> Numatomo teisinio reguliavimo poveikio vertinimas atliekamas r</w:t>
      </w:r>
      <w:r w:rsidRPr="00856DDE">
        <w:t>engiant teisės akto, kuriuo numatoma reglamentuoti iki tol nereglamentuotus santykius, taip pat kuriuo iš esmės keičiamas teisinis reguliavimas, projektą.</w:t>
      </w:r>
      <w:r w:rsidRPr="00856DDE">
        <w:rPr>
          <w:lang w:eastAsia="ar-SA"/>
        </w:rPr>
        <w:t xml:space="preserve"> </w:t>
      </w:r>
      <w:r w:rsidRPr="00856DDE">
        <w:t>Atliekant vertinimą, nustatomas galimas teigiamas ir neigiamas poveikis to teisinio reguliavimo sričiai, asmenims ar jų grupėms, kuriems bus taikomas numatomas teisinis reguliavimas.</w:t>
      </w:r>
    </w:p>
    <w:p w14:paraId="3E7D7AB8" w14:textId="77777777" w:rsidR="004731DF" w:rsidRPr="001F0F76" w:rsidRDefault="004731DF" w:rsidP="004731DF">
      <w:pPr>
        <w:suppressAutoHyphens/>
        <w:rPr>
          <w:color w:val="FF0000"/>
          <w:sz w:val="24"/>
          <w:szCs w:val="24"/>
        </w:rPr>
      </w:pPr>
    </w:p>
    <w:p w14:paraId="6ED9A8A7" w14:textId="77777777" w:rsidR="004731DF" w:rsidRPr="00017392" w:rsidRDefault="004731DF" w:rsidP="004731DF">
      <w:pPr>
        <w:tabs>
          <w:tab w:val="left" w:pos="7230"/>
        </w:tabs>
        <w:suppressAutoHyphens/>
        <w:rPr>
          <w:sz w:val="24"/>
          <w:szCs w:val="24"/>
        </w:rPr>
      </w:pPr>
      <w:r w:rsidRPr="00017392">
        <w:rPr>
          <w:sz w:val="24"/>
          <w:szCs w:val="24"/>
        </w:rPr>
        <w:t>Kėdainių rajono savivaldybės administracijos</w:t>
      </w:r>
      <w:r w:rsidRPr="00017392">
        <w:rPr>
          <w:sz w:val="24"/>
          <w:szCs w:val="24"/>
        </w:rPr>
        <w:tab/>
        <w:t>Daiva Mickevičienė</w:t>
      </w:r>
    </w:p>
    <w:p w14:paraId="2F27F745" w14:textId="77777777" w:rsidR="004731DF" w:rsidRPr="00017392" w:rsidRDefault="004731DF" w:rsidP="004731DF">
      <w:pPr>
        <w:tabs>
          <w:tab w:val="left" w:pos="7230"/>
        </w:tabs>
        <w:suppressAutoHyphens/>
      </w:pPr>
      <w:r w:rsidRPr="00017392">
        <w:rPr>
          <w:sz w:val="24"/>
          <w:szCs w:val="24"/>
        </w:rPr>
        <w:t xml:space="preserve">vyr. specialistė (tarpinstitucinio bendradarbiavimo koordinatorė) </w:t>
      </w:r>
      <w:r w:rsidRPr="00017392">
        <w:rPr>
          <w:sz w:val="24"/>
          <w:szCs w:val="24"/>
        </w:rPr>
        <w:tab/>
      </w:r>
    </w:p>
    <w:p w14:paraId="2B45DB6C" w14:textId="77777777" w:rsidR="004731DF" w:rsidRPr="001F0F76" w:rsidRDefault="004731DF" w:rsidP="004731DF">
      <w:pPr>
        <w:pStyle w:val="Betarp"/>
        <w:rPr>
          <w:color w:val="FF0000"/>
          <w:sz w:val="24"/>
          <w:szCs w:val="24"/>
          <w:lang w:val="lt-LT" w:eastAsia="en-US"/>
        </w:rPr>
      </w:pPr>
    </w:p>
    <w:p w14:paraId="31FF9168" w14:textId="77777777" w:rsidR="004731DF" w:rsidRPr="001F0F76" w:rsidRDefault="004731DF" w:rsidP="004731DF">
      <w:pPr>
        <w:rPr>
          <w:color w:val="FF0000"/>
        </w:rPr>
      </w:pPr>
    </w:p>
    <w:p w14:paraId="347A0E16" w14:textId="77777777" w:rsidR="004731DF" w:rsidRPr="001F0F76" w:rsidRDefault="004731DF" w:rsidP="004731DF">
      <w:pPr>
        <w:rPr>
          <w:color w:val="FF0000"/>
        </w:rPr>
      </w:pPr>
    </w:p>
    <w:p w14:paraId="497B2A86" w14:textId="77777777" w:rsidR="004731DF" w:rsidRPr="001F0F76" w:rsidRDefault="004731DF" w:rsidP="004731DF">
      <w:pPr>
        <w:rPr>
          <w:color w:val="FF0000"/>
        </w:rPr>
      </w:pPr>
    </w:p>
    <w:p w14:paraId="151B29EE" w14:textId="77777777" w:rsidR="004731DF" w:rsidRPr="001F0F76" w:rsidRDefault="004731DF" w:rsidP="004731DF">
      <w:pPr>
        <w:rPr>
          <w:color w:val="FF0000"/>
        </w:rPr>
      </w:pPr>
    </w:p>
    <w:p w14:paraId="4E243B5E" w14:textId="77777777" w:rsidR="004731DF" w:rsidRPr="001F0F76" w:rsidRDefault="004731DF" w:rsidP="004731DF">
      <w:pPr>
        <w:rPr>
          <w:color w:val="FF0000"/>
        </w:rPr>
      </w:pPr>
    </w:p>
    <w:p w14:paraId="5F066FEB" w14:textId="77777777" w:rsidR="004731DF" w:rsidRPr="001F0F76" w:rsidRDefault="004731DF" w:rsidP="004731DF">
      <w:pPr>
        <w:rPr>
          <w:color w:val="FF0000"/>
        </w:rPr>
      </w:pPr>
    </w:p>
    <w:p w14:paraId="1500845B" w14:textId="77777777" w:rsidR="004731DF" w:rsidRPr="001F0F76" w:rsidRDefault="004731DF" w:rsidP="004731DF">
      <w:pPr>
        <w:rPr>
          <w:color w:val="FF0000"/>
        </w:rPr>
      </w:pPr>
    </w:p>
    <w:p w14:paraId="4FE265CF" w14:textId="77777777" w:rsidR="004731DF" w:rsidRPr="001F0F76" w:rsidRDefault="004731DF" w:rsidP="004731DF">
      <w:pPr>
        <w:rPr>
          <w:color w:val="FF0000"/>
        </w:rPr>
      </w:pPr>
    </w:p>
    <w:p w14:paraId="3B688C5E" w14:textId="77777777" w:rsidR="004731DF" w:rsidRDefault="004731DF" w:rsidP="004731DF"/>
    <w:p w14:paraId="34DDC7A5" w14:textId="77777777" w:rsidR="004731DF" w:rsidRDefault="004731DF" w:rsidP="004731DF"/>
    <w:p w14:paraId="3B40C215" w14:textId="77777777" w:rsidR="004731DF" w:rsidRDefault="004731DF" w:rsidP="004731DF"/>
    <w:p w14:paraId="3E6281DC" w14:textId="77777777" w:rsidR="004731DF" w:rsidRDefault="004731DF" w:rsidP="004731DF"/>
    <w:p w14:paraId="641CB3C7" w14:textId="77777777" w:rsidR="004731DF" w:rsidRDefault="004731DF" w:rsidP="004731DF"/>
    <w:p w14:paraId="3C29D7D9" w14:textId="77777777" w:rsidR="004731DF" w:rsidRDefault="004731DF" w:rsidP="004731DF"/>
    <w:p w14:paraId="2C4A71A8" w14:textId="77777777" w:rsidR="004731DF" w:rsidRDefault="004731DF" w:rsidP="004731DF"/>
    <w:p w14:paraId="3EF6FAFF" w14:textId="77777777" w:rsidR="004731DF" w:rsidRDefault="004731DF" w:rsidP="004731DF"/>
    <w:p w14:paraId="2407CE9F" w14:textId="77777777" w:rsidR="004731DF" w:rsidRDefault="004731DF" w:rsidP="004731DF"/>
    <w:p w14:paraId="5A8E7643" w14:textId="77777777" w:rsidR="004731DF" w:rsidRDefault="004731DF" w:rsidP="004731DF"/>
    <w:p w14:paraId="265BD3A4" w14:textId="77777777" w:rsidR="004731DF" w:rsidRDefault="004731DF" w:rsidP="004731DF"/>
    <w:p w14:paraId="2BD2F240" w14:textId="77777777" w:rsidR="004731DF" w:rsidRDefault="004731DF" w:rsidP="004731DF"/>
    <w:p w14:paraId="56A45984" w14:textId="77777777" w:rsidR="004731DF" w:rsidRDefault="004731DF" w:rsidP="004731DF"/>
    <w:p w14:paraId="7A0AF5BD" w14:textId="77777777" w:rsidR="004731DF" w:rsidRDefault="004731DF" w:rsidP="004731DF"/>
    <w:p w14:paraId="11825D3B" w14:textId="77777777" w:rsidR="004731DF" w:rsidRDefault="004731DF" w:rsidP="004731DF"/>
    <w:p w14:paraId="513F66CA" w14:textId="77777777" w:rsidR="004731DF" w:rsidRDefault="004731DF" w:rsidP="004731DF"/>
    <w:p w14:paraId="085742BB" w14:textId="77777777" w:rsidR="004731DF" w:rsidRDefault="004731DF" w:rsidP="004731DF"/>
    <w:p w14:paraId="16A7B044" w14:textId="77777777" w:rsidR="004731DF" w:rsidRDefault="004731DF" w:rsidP="004731DF"/>
    <w:p w14:paraId="3A21DA40" w14:textId="77777777" w:rsidR="004731DF" w:rsidRDefault="004731DF" w:rsidP="004731DF"/>
    <w:p w14:paraId="3FBE8FE8" w14:textId="77777777" w:rsidR="004731DF" w:rsidRDefault="004731DF" w:rsidP="004731DF"/>
    <w:p w14:paraId="0CA39C23" w14:textId="77777777" w:rsidR="004731DF" w:rsidRDefault="004731DF" w:rsidP="004731DF"/>
    <w:p w14:paraId="7BA9B0EB" w14:textId="77777777" w:rsidR="004731DF" w:rsidRDefault="004731DF" w:rsidP="004731DF"/>
    <w:p w14:paraId="37F52F24" w14:textId="77777777" w:rsidR="004731DF" w:rsidRDefault="004731DF" w:rsidP="004731DF"/>
    <w:p w14:paraId="541E5703" w14:textId="77777777" w:rsidR="004731DF" w:rsidRDefault="004731DF" w:rsidP="004731DF"/>
    <w:p w14:paraId="2AFCED40" w14:textId="77777777" w:rsidR="004731DF" w:rsidRDefault="004731DF" w:rsidP="004731DF"/>
    <w:p w14:paraId="44267DF3" w14:textId="77777777" w:rsidR="004731DF" w:rsidRDefault="004731DF" w:rsidP="004731DF"/>
    <w:p w14:paraId="13BABAFB" w14:textId="77777777" w:rsidR="004731DF" w:rsidRDefault="004731DF" w:rsidP="004731DF"/>
    <w:p w14:paraId="7DA3F1A4" w14:textId="77777777" w:rsidR="004731DF" w:rsidRDefault="004731DF" w:rsidP="004731DF"/>
    <w:p w14:paraId="157A2534" w14:textId="77777777" w:rsidR="004731DF" w:rsidRDefault="004731DF" w:rsidP="004731DF"/>
    <w:p w14:paraId="09F202DA" w14:textId="77777777" w:rsidR="004731DF" w:rsidRDefault="004731DF" w:rsidP="004731DF"/>
    <w:p w14:paraId="24641933" w14:textId="77777777" w:rsidR="004731DF" w:rsidRDefault="004731DF" w:rsidP="004731DF"/>
    <w:p w14:paraId="2F276F41" w14:textId="77777777" w:rsidR="004731DF" w:rsidRDefault="004731DF" w:rsidP="004731DF"/>
    <w:p w14:paraId="16E3CD28" w14:textId="77777777" w:rsidR="004731DF" w:rsidRDefault="004731DF" w:rsidP="004731DF"/>
    <w:p w14:paraId="37FA02FA" w14:textId="77777777" w:rsidR="00F11F69" w:rsidRDefault="00F11F69"/>
    <w:sectPr w:rsidR="00F11F69" w:rsidSect="00C23D9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BA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07382"/>
    <w:multiLevelType w:val="hybridMultilevel"/>
    <w:tmpl w:val="87484A52"/>
    <w:lvl w:ilvl="0" w:tplc="9E1C42AE">
      <w:start w:val="2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36979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DF"/>
    <w:rsid w:val="00002C52"/>
    <w:rsid w:val="00037498"/>
    <w:rsid w:val="000424D7"/>
    <w:rsid w:val="000658C6"/>
    <w:rsid w:val="000B5139"/>
    <w:rsid w:val="000B7CE8"/>
    <w:rsid w:val="0023061D"/>
    <w:rsid w:val="002333DB"/>
    <w:rsid w:val="002A046B"/>
    <w:rsid w:val="00304C82"/>
    <w:rsid w:val="003C7FDE"/>
    <w:rsid w:val="00433C8D"/>
    <w:rsid w:val="004731DF"/>
    <w:rsid w:val="004C269B"/>
    <w:rsid w:val="004C3740"/>
    <w:rsid w:val="004E5D01"/>
    <w:rsid w:val="004F4719"/>
    <w:rsid w:val="00517DED"/>
    <w:rsid w:val="005557FB"/>
    <w:rsid w:val="005B32D5"/>
    <w:rsid w:val="005E5689"/>
    <w:rsid w:val="005E6A0E"/>
    <w:rsid w:val="00652C4D"/>
    <w:rsid w:val="00696629"/>
    <w:rsid w:val="007A5683"/>
    <w:rsid w:val="007C4C57"/>
    <w:rsid w:val="007F62B4"/>
    <w:rsid w:val="00AA19FE"/>
    <w:rsid w:val="00AB178E"/>
    <w:rsid w:val="00B40EF0"/>
    <w:rsid w:val="00B87AD3"/>
    <w:rsid w:val="00BC0CE2"/>
    <w:rsid w:val="00C23D90"/>
    <w:rsid w:val="00C44E34"/>
    <w:rsid w:val="00C51590"/>
    <w:rsid w:val="00C62B8E"/>
    <w:rsid w:val="00C95BD1"/>
    <w:rsid w:val="00CC1EF3"/>
    <w:rsid w:val="00CC3AF1"/>
    <w:rsid w:val="00CC5290"/>
    <w:rsid w:val="00CE0365"/>
    <w:rsid w:val="00CF3204"/>
    <w:rsid w:val="00D17B98"/>
    <w:rsid w:val="00D55628"/>
    <w:rsid w:val="00F11F69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C0F5"/>
  <w15:chartTrackingRefBased/>
  <w15:docId w15:val="{58CE53AB-25AB-4EF7-B7FB-E26212B5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3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3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3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3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3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3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3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3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31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31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31DF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31DF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31DF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31D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31D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31D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31D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3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31D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3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31D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3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31D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731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31D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3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31DF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731DF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473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table" w:styleId="Lentelstinklelis">
    <w:name w:val="Table Grid"/>
    <w:basedOn w:val="prastojilentel"/>
    <w:uiPriority w:val="39"/>
    <w:rsid w:val="00473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3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3974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38</cp:revision>
  <cp:lastPrinted>2026-03-04T11:11:00Z</cp:lastPrinted>
  <dcterms:created xsi:type="dcterms:W3CDTF">2026-03-02T14:44:00Z</dcterms:created>
  <dcterms:modified xsi:type="dcterms:W3CDTF">2026-03-17T13:11:00Z</dcterms:modified>
</cp:coreProperties>
</file>