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48F" w:rsidRDefault="008324B0">
      <w:pPr>
        <w:jc w:val="both"/>
      </w:pPr>
      <w:bookmarkStart w:id="0" w:name="_GoBack"/>
      <w:bookmarkEnd w:id="0"/>
      <w:r>
        <w:rPr>
          <w:b/>
          <w:i/>
        </w:rPr>
        <w:t>Suvestinė redakcija nuo 2018-10-20</w:t>
      </w:r>
    </w:p>
    <w:p w:rsidR="0074548F" w:rsidRDefault="0074548F">
      <w:pPr>
        <w:jc w:val="both"/>
        <w:rPr>
          <w:sz w:val="20"/>
        </w:rPr>
      </w:pPr>
    </w:p>
    <w:p w:rsidR="0074548F" w:rsidRDefault="008324B0">
      <w:pPr>
        <w:jc w:val="both"/>
        <w:rPr>
          <w:sz w:val="20"/>
        </w:rPr>
      </w:pPr>
      <w:r>
        <w:rPr>
          <w:i/>
          <w:sz w:val="20"/>
        </w:rPr>
        <w:t xml:space="preserve">Įsakymas paskelbtas: Žin. 2002, Nr. </w:t>
      </w:r>
      <w:hyperlink r:id="rId7" w:history="1">
        <w:r w:rsidRPr="00532B9F">
          <w:rPr>
            <w:rFonts w:eastAsia="MS Mincho"/>
            <w:i/>
            <w:iCs/>
            <w:color w:val="0000FF" w:themeColor="hyperlink"/>
            <w:sz w:val="20"/>
            <w:u w:val="single"/>
          </w:rPr>
          <w:t>97-4303</w:t>
        </w:r>
      </w:hyperlink>
      <w:r>
        <w:rPr>
          <w:rFonts w:eastAsia="MS Mincho"/>
          <w:i/>
          <w:iCs/>
          <w:sz w:val="20"/>
        </w:rPr>
        <w:t>, i. k. 102301MISAK0486/359</w:t>
      </w:r>
    </w:p>
    <w:p w:rsidR="0074548F" w:rsidRDefault="0074548F">
      <w:pPr>
        <w:jc w:val="both"/>
        <w:rPr>
          <w:sz w:val="20"/>
        </w:rPr>
      </w:pPr>
    </w:p>
    <w:p w:rsidR="0074548F" w:rsidRDefault="008324B0">
      <w:pPr>
        <w:rPr>
          <w:b/>
          <w:i/>
          <w:sz w:val="20"/>
        </w:rPr>
      </w:pPr>
      <w:r>
        <w:rPr>
          <w:b/>
          <w:i/>
          <w:sz w:val="20"/>
        </w:rPr>
        <w:t>Nauja redakcija nuo 2015-01-24:</w:t>
      </w:r>
    </w:p>
    <w:p w:rsidR="0074548F" w:rsidRDefault="008324B0">
      <w:pPr>
        <w:rPr>
          <w:i/>
          <w:sz w:val="20"/>
        </w:rPr>
      </w:pPr>
      <w:r>
        <w:rPr>
          <w:i/>
          <w:sz w:val="20"/>
        </w:rPr>
        <w:t xml:space="preserve">Nr. </w:t>
      </w:r>
      <w:hyperlink r:id="rId8" w:history="1">
        <w:r w:rsidRPr="00532B9F">
          <w:rPr>
            <w:rFonts w:eastAsia="MS Mincho"/>
            <w:i/>
            <w:iCs/>
            <w:color w:val="0000FF" w:themeColor="hyperlink"/>
            <w:sz w:val="20"/>
            <w:u w:val="single"/>
          </w:rPr>
          <w:t>D1-69/3D-36</w:t>
        </w:r>
      </w:hyperlink>
      <w:r>
        <w:rPr>
          <w:rFonts w:eastAsia="MS Mincho"/>
          <w:i/>
          <w:iCs/>
          <w:sz w:val="20"/>
        </w:rPr>
        <w:t>, 2015-01-22, paskelbta TAR 2015-01-23, i. k. 2015-01000</w:t>
      </w:r>
    </w:p>
    <w:p w:rsidR="0074548F" w:rsidRDefault="0074548F">
      <w:pPr>
        <w:rPr>
          <w:sz w:val="22"/>
        </w:rPr>
      </w:pPr>
    </w:p>
    <w:p w:rsidR="0074548F" w:rsidRDefault="008324B0">
      <w:pPr>
        <w:jc w:val="center"/>
        <w:rPr>
          <w:b/>
          <w:szCs w:val="24"/>
          <w:lang w:eastAsia="lt-LT"/>
        </w:rPr>
      </w:pPr>
      <w:r>
        <w:rPr>
          <w:b/>
          <w:szCs w:val="24"/>
          <w:lang w:eastAsia="lt-LT"/>
        </w:rPr>
        <w:t>LIETUVOS RESPUBLIKOS APLINKOS MINISTRAS</w:t>
      </w:r>
    </w:p>
    <w:p w:rsidR="0074548F" w:rsidRDefault="0074548F">
      <w:pPr>
        <w:rPr>
          <w:sz w:val="18"/>
          <w:szCs w:val="18"/>
        </w:rPr>
      </w:pPr>
    </w:p>
    <w:p w:rsidR="0074548F" w:rsidRDefault="008324B0">
      <w:pPr>
        <w:jc w:val="center"/>
        <w:rPr>
          <w:b/>
          <w:szCs w:val="24"/>
          <w:lang w:eastAsia="lt-LT"/>
        </w:rPr>
      </w:pPr>
      <w:r>
        <w:rPr>
          <w:b/>
          <w:szCs w:val="24"/>
          <w:lang w:eastAsia="lt-LT"/>
        </w:rPr>
        <w:t>LIETUVOS RESPUBLIKOS ŽEMĖS ŪKIO MINISTRAS</w:t>
      </w:r>
    </w:p>
    <w:p w:rsidR="0074548F" w:rsidRDefault="0074548F">
      <w:pPr>
        <w:rPr>
          <w:sz w:val="18"/>
          <w:szCs w:val="18"/>
        </w:rPr>
      </w:pPr>
    </w:p>
    <w:p w:rsidR="0074548F" w:rsidRDefault="008324B0">
      <w:pPr>
        <w:jc w:val="center"/>
        <w:rPr>
          <w:b/>
          <w:szCs w:val="24"/>
          <w:lang w:eastAsia="lt-LT"/>
        </w:rPr>
      </w:pPr>
      <w:r>
        <w:rPr>
          <w:b/>
          <w:szCs w:val="24"/>
          <w:lang w:eastAsia="lt-LT"/>
        </w:rPr>
        <w:t>ĮSAKYMA</w:t>
      </w:r>
      <w:r>
        <w:rPr>
          <w:b/>
          <w:szCs w:val="24"/>
          <w:lang w:eastAsia="lt-LT"/>
        </w:rPr>
        <w:t>S</w:t>
      </w:r>
    </w:p>
    <w:p w:rsidR="0074548F" w:rsidRDefault="008324B0">
      <w:pPr>
        <w:jc w:val="center"/>
        <w:rPr>
          <w:b/>
          <w:szCs w:val="24"/>
          <w:lang w:eastAsia="lt-LT"/>
        </w:rPr>
      </w:pPr>
      <w:r>
        <w:rPr>
          <w:b/>
          <w:szCs w:val="24"/>
          <w:lang w:eastAsia="lt-LT"/>
        </w:rPr>
        <w:t>DĖL MEDŽIOJAMŲJŲ GYVŪNŲ PADARYTOS ŽALOS ŽEMĖS ŪKIO PASĖLIAMS, ŪKINIAMS GYVŪNAMS  IR MIŠKUI APSKAIČIAVIMO METODIKOS</w:t>
      </w:r>
    </w:p>
    <w:p w:rsidR="0074548F" w:rsidRDefault="008324B0">
      <w:pPr>
        <w:jc w:val="center"/>
        <w:rPr>
          <w:b/>
          <w:szCs w:val="24"/>
          <w:lang w:eastAsia="lt-LT"/>
        </w:rPr>
      </w:pPr>
      <w:r>
        <w:rPr>
          <w:b/>
          <w:szCs w:val="24"/>
          <w:lang w:eastAsia="lt-LT"/>
        </w:rPr>
        <w:t xml:space="preserve">PATVIRTINIMO </w:t>
      </w:r>
    </w:p>
    <w:p w:rsidR="0074548F" w:rsidRDefault="0074548F">
      <w:pPr>
        <w:jc w:val="both"/>
        <w:rPr>
          <w:sz w:val="22"/>
          <w:szCs w:val="22"/>
          <w:lang w:eastAsia="lt-LT"/>
        </w:rPr>
      </w:pPr>
    </w:p>
    <w:p w:rsidR="0074548F" w:rsidRDefault="008324B0">
      <w:pPr>
        <w:jc w:val="center"/>
        <w:rPr>
          <w:color w:val="000000"/>
          <w:lang w:eastAsia="lt-LT"/>
        </w:rPr>
      </w:pPr>
      <w:r>
        <w:rPr>
          <w:color w:val="000000"/>
          <w:lang w:eastAsia="lt-LT"/>
        </w:rPr>
        <w:t>2002 m. rugsėjo 23 d. Nr. 486/359</w:t>
      </w:r>
    </w:p>
    <w:p w:rsidR="0074548F" w:rsidRDefault="008324B0">
      <w:pPr>
        <w:jc w:val="center"/>
        <w:rPr>
          <w:color w:val="000000"/>
          <w:lang w:eastAsia="lt-LT"/>
        </w:rPr>
      </w:pPr>
      <w:r>
        <w:rPr>
          <w:color w:val="000000"/>
          <w:lang w:eastAsia="lt-LT"/>
        </w:rPr>
        <w:t>Vilnius</w:t>
      </w:r>
    </w:p>
    <w:p w:rsidR="0074548F" w:rsidRDefault="0074548F">
      <w:pPr>
        <w:jc w:val="center"/>
        <w:rPr>
          <w:sz w:val="22"/>
          <w:szCs w:val="22"/>
          <w:lang w:eastAsia="lt-LT"/>
        </w:rPr>
      </w:pPr>
    </w:p>
    <w:p w:rsidR="0074548F" w:rsidRDefault="0074548F">
      <w:pPr>
        <w:jc w:val="center"/>
        <w:rPr>
          <w:sz w:val="22"/>
          <w:szCs w:val="22"/>
          <w:lang w:eastAsia="lt-LT"/>
        </w:rPr>
      </w:pPr>
    </w:p>
    <w:p w:rsidR="0074548F" w:rsidRDefault="008324B0">
      <w:pPr>
        <w:ind w:firstLine="567"/>
        <w:jc w:val="both"/>
        <w:rPr>
          <w:szCs w:val="24"/>
          <w:lang w:eastAsia="lt-LT"/>
        </w:rPr>
      </w:pPr>
      <w:r>
        <w:rPr>
          <w:szCs w:val="24"/>
          <w:lang w:eastAsia="lt-LT"/>
        </w:rPr>
        <w:t>Vadovaudamiesi Lietuvos Respublikos medžioklės įstatymo 18 straipsnio 2 dalimi,</w:t>
      </w:r>
    </w:p>
    <w:p w:rsidR="0074548F" w:rsidRDefault="008324B0">
      <w:pPr>
        <w:ind w:firstLine="567"/>
        <w:jc w:val="both"/>
      </w:pPr>
      <w:r>
        <w:rPr>
          <w:szCs w:val="24"/>
          <w:lang w:eastAsia="lt-LT"/>
        </w:rPr>
        <w:t>t v i r t i n a m e  Medžiojamųjų gyvūnų padarytos žalos žemės ūkio pasėliams, ūkiniams gyvūnams ir miškui apskaičiavimo metodiką  (pridedama).</w:t>
      </w:r>
    </w:p>
    <w:p w:rsidR="0074548F" w:rsidRDefault="0074548F">
      <w:pPr>
        <w:tabs>
          <w:tab w:val="right" w:pos="9639"/>
        </w:tabs>
      </w:pPr>
    </w:p>
    <w:p w:rsidR="0074548F" w:rsidRDefault="0074548F">
      <w:pPr>
        <w:tabs>
          <w:tab w:val="right" w:pos="9639"/>
        </w:tabs>
      </w:pPr>
    </w:p>
    <w:p w:rsidR="0074548F" w:rsidRDefault="0074548F">
      <w:pPr>
        <w:tabs>
          <w:tab w:val="right" w:pos="9639"/>
        </w:tabs>
      </w:pPr>
    </w:p>
    <w:p w:rsidR="0074548F" w:rsidRDefault="008324B0">
      <w:pPr>
        <w:tabs>
          <w:tab w:val="right" w:pos="9072"/>
        </w:tabs>
      </w:pPr>
      <w:r>
        <w:t>APLINKOS MINISTRAS</w:t>
      </w:r>
      <w:r>
        <w:tab/>
        <w:t>ARŪNAS KUNDROTAS</w:t>
      </w:r>
    </w:p>
    <w:p w:rsidR="0074548F" w:rsidRDefault="0074548F">
      <w:pPr>
        <w:snapToGrid w:val="0"/>
        <w:ind w:firstLine="709"/>
        <w:jc w:val="both"/>
        <w:rPr>
          <w:color w:val="000000"/>
          <w:lang w:eastAsia="lt-LT"/>
        </w:rPr>
      </w:pPr>
    </w:p>
    <w:p w:rsidR="0074548F" w:rsidRDefault="0074548F">
      <w:pPr>
        <w:snapToGrid w:val="0"/>
        <w:ind w:firstLine="709"/>
        <w:jc w:val="both"/>
        <w:rPr>
          <w:color w:val="000000"/>
          <w:lang w:eastAsia="lt-LT"/>
        </w:rPr>
      </w:pPr>
    </w:p>
    <w:p w:rsidR="0074548F" w:rsidRDefault="0074548F">
      <w:pPr>
        <w:snapToGrid w:val="0"/>
        <w:ind w:firstLine="709"/>
        <w:jc w:val="both"/>
        <w:rPr>
          <w:color w:val="000000"/>
          <w:lang w:eastAsia="lt-LT"/>
        </w:rPr>
      </w:pPr>
    </w:p>
    <w:p w:rsidR="0074548F" w:rsidRDefault="008324B0">
      <w:pPr>
        <w:tabs>
          <w:tab w:val="right" w:pos="9072"/>
        </w:tabs>
      </w:pPr>
      <w:r>
        <w:t>ŽEMĖS ŪKIO MINISTRAS</w:t>
      </w:r>
      <w:r>
        <w:tab/>
        <w:t>JERONIMAS KRAUJELIS</w:t>
      </w:r>
    </w:p>
    <w:p w:rsidR="0074548F" w:rsidRDefault="0074548F"/>
    <w:p w:rsidR="0074548F" w:rsidRDefault="0074548F">
      <w:pPr>
        <w:sectPr w:rsidR="0074548F">
          <w:headerReference w:type="even" r:id="rId9"/>
          <w:headerReference w:type="default" r:id="rId10"/>
          <w:footerReference w:type="even" r:id="rId11"/>
          <w:footerReference w:type="default" r:id="rId12"/>
          <w:headerReference w:type="first" r:id="rId13"/>
          <w:footerReference w:type="first" r:id="rId14"/>
          <w:pgSz w:w="11907" w:h="16839"/>
          <w:pgMar w:top="1134" w:right="850" w:bottom="1134" w:left="1701" w:header="567" w:footer="567" w:gutter="0"/>
          <w:pgNumType w:start="1"/>
          <w:cols w:space="1296"/>
          <w:titlePg/>
          <w:docGrid w:linePitch="360"/>
        </w:sectPr>
      </w:pPr>
    </w:p>
    <w:p w:rsidR="0074548F" w:rsidRDefault="0074548F"/>
    <w:p w:rsidR="0074548F" w:rsidRDefault="008324B0">
      <w:pPr>
        <w:ind w:left="4820"/>
        <w:rPr>
          <w:szCs w:val="24"/>
        </w:rPr>
      </w:pPr>
      <w:r>
        <w:rPr>
          <w:szCs w:val="24"/>
        </w:rPr>
        <w:t>PATVIRTINTA</w:t>
      </w:r>
    </w:p>
    <w:p w:rsidR="0074548F" w:rsidRDefault="008324B0">
      <w:pPr>
        <w:ind w:left="4820"/>
        <w:rPr>
          <w:szCs w:val="24"/>
        </w:rPr>
      </w:pPr>
      <w:r>
        <w:rPr>
          <w:szCs w:val="24"/>
        </w:rPr>
        <w:t>Lietuvos Respublikos aplinkos ministro ir</w:t>
      </w:r>
    </w:p>
    <w:p w:rsidR="0074548F" w:rsidRDefault="008324B0">
      <w:pPr>
        <w:ind w:left="4820"/>
        <w:rPr>
          <w:szCs w:val="24"/>
        </w:rPr>
      </w:pPr>
      <w:r>
        <w:rPr>
          <w:szCs w:val="24"/>
        </w:rPr>
        <w:t>Lietuvos Respublikos žemės ūkio ministro</w:t>
      </w:r>
    </w:p>
    <w:p w:rsidR="0074548F" w:rsidRDefault="008324B0">
      <w:pPr>
        <w:ind w:left="4820"/>
        <w:rPr>
          <w:szCs w:val="24"/>
        </w:rPr>
      </w:pPr>
      <w:r>
        <w:rPr>
          <w:szCs w:val="24"/>
        </w:rPr>
        <w:t xml:space="preserve">2002 m. rugsėjo 23 d. </w:t>
      </w:r>
      <w:r>
        <w:rPr>
          <w:szCs w:val="24"/>
        </w:rPr>
        <w:t>įsakymu Nr. 486/359</w:t>
      </w:r>
    </w:p>
    <w:p w:rsidR="0074548F" w:rsidRDefault="008324B0">
      <w:pPr>
        <w:ind w:left="4820"/>
        <w:rPr>
          <w:szCs w:val="24"/>
        </w:rPr>
      </w:pPr>
      <w:r>
        <w:rPr>
          <w:szCs w:val="24"/>
        </w:rPr>
        <w:t>(Lietuvos Respublikos aplinkos ministro ir</w:t>
      </w:r>
    </w:p>
    <w:p w:rsidR="0074548F" w:rsidRDefault="008324B0">
      <w:pPr>
        <w:ind w:left="4820"/>
        <w:rPr>
          <w:szCs w:val="24"/>
        </w:rPr>
      </w:pPr>
      <w:r>
        <w:rPr>
          <w:szCs w:val="24"/>
        </w:rPr>
        <w:t>Lietuvos Respublikos žemės ūkio ministro</w:t>
      </w:r>
    </w:p>
    <w:p w:rsidR="0074548F" w:rsidRDefault="008324B0">
      <w:pPr>
        <w:ind w:left="4820"/>
        <w:rPr>
          <w:szCs w:val="24"/>
        </w:rPr>
      </w:pPr>
      <w:r>
        <w:rPr>
          <w:szCs w:val="24"/>
        </w:rPr>
        <w:t>2015 m. sausio 22 d.</w:t>
      </w:r>
    </w:p>
    <w:p w:rsidR="0074548F" w:rsidRDefault="008324B0">
      <w:pPr>
        <w:ind w:left="4820"/>
        <w:rPr>
          <w:szCs w:val="24"/>
        </w:rPr>
      </w:pPr>
      <w:r>
        <w:rPr>
          <w:szCs w:val="24"/>
        </w:rPr>
        <w:t>įsakymo Nr. D1-69/3D-36 redakcija)</w:t>
      </w:r>
    </w:p>
    <w:p w:rsidR="0074548F" w:rsidRDefault="0074548F">
      <w:pPr>
        <w:rPr>
          <w:szCs w:val="24"/>
        </w:rPr>
      </w:pPr>
    </w:p>
    <w:p w:rsidR="0074548F" w:rsidRDefault="0074548F">
      <w:pPr>
        <w:rPr>
          <w:szCs w:val="24"/>
        </w:rPr>
      </w:pPr>
    </w:p>
    <w:p w:rsidR="0074548F" w:rsidRDefault="008324B0">
      <w:pPr>
        <w:jc w:val="center"/>
        <w:rPr>
          <w:b/>
          <w:szCs w:val="24"/>
        </w:rPr>
      </w:pPr>
      <w:r>
        <w:rPr>
          <w:b/>
          <w:szCs w:val="24"/>
        </w:rPr>
        <w:t>MEDŽIOJAMŲJŲ GYVŪNŲ PADARYTOS ŽALOS ŽEMĖS ŪKIO PASĖLIAMS, ŪKINIAMS GYVŪNAMS IR MIŠKUI APSKAIČI</w:t>
      </w:r>
      <w:r>
        <w:rPr>
          <w:b/>
          <w:szCs w:val="24"/>
        </w:rPr>
        <w:t>AVIMO METODIKA</w:t>
      </w:r>
    </w:p>
    <w:p w:rsidR="0074548F" w:rsidRDefault="0074548F">
      <w:pPr>
        <w:jc w:val="center"/>
        <w:rPr>
          <w:szCs w:val="24"/>
        </w:rPr>
      </w:pPr>
    </w:p>
    <w:p w:rsidR="0074548F" w:rsidRDefault="008324B0">
      <w:pPr>
        <w:jc w:val="center"/>
        <w:rPr>
          <w:b/>
          <w:szCs w:val="24"/>
        </w:rPr>
      </w:pPr>
      <w:r>
        <w:rPr>
          <w:b/>
          <w:szCs w:val="24"/>
        </w:rPr>
        <w:t>I SKYRIUS</w:t>
      </w:r>
    </w:p>
    <w:p w:rsidR="0074548F" w:rsidRDefault="008324B0">
      <w:pPr>
        <w:jc w:val="center"/>
        <w:rPr>
          <w:b/>
          <w:szCs w:val="24"/>
        </w:rPr>
      </w:pPr>
      <w:r>
        <w:rPr>
          <w:b/>
          <w:szCs w:val="24"/>
        </w:rPr>
        <w:t>BENDROSIOS NUOSTATOS</w:t>
      </w:r>
    </w:p>
    <w:p w:rsidR="0074548F" w:rsidRDefault="0074548F">
      <w:pPr>
        <w:jc w:val="center"/>
        <w:rPr>
          <w:szCs w:val="24"/>
        </w:rPr>
      </w:pP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 Medžiojamųjų gyvūnų padarytos žalos žemės ūkio pasėliams, ūkiniams gyvūnams ir miškui apskaičiavimo metodika (toliau – metodika) reglamentuoja dėl medžiojamųjų gyvūnų pakenkimų žemės ūkio pasėliams, ūkinia</w:t>
      </w:r>
      <w:r>
        <w:rPr>
          <w:szCs w:val="24"/>
          <w:lang w:eastAsia="lt-LT"/>
        </w:rPr>
        <w:t>ms gyvūnams, miškui ir hidrotechnikos įrenginiams padarytos žalos žemės, miško ir vandens telkinių sklypų savininkams, valdytojams ar naudotojams piniginės išraiškos apskaičiavimą bei nustato pasėlių apsaugojimo nuo medžiojamųjų gyvūnų daromos žalos priemo</w:t>
      </w:r>
      <w:r>
        <w:rPr>
          <w:szCs w:val="24"/>
          <w:lang w:eastAsia="lt-LT"/>
        </w:rPr>
        <w:t>nes, kurias turi taikyti žemės ūkio pasėlių savininkas.</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Cs w:val="24"/>
        </w:rPr>
      </w:pPr>
      <w:r>
        <w:rPr>
          <w:szCs w:val="24"/>
        </w:rPr>
        <w:t xml:space="preserve">2. </w:t>
      </w:r>
      <w:r>
        <w:rPr>
          <w:szCs w:val="24"/>
          <w:lang w:eastAsia="lt-LT"/>
        </w:rPr>
        <w:t>Medžiojamųjų gyvūnų padaryta žala žemės ūkio pasėliams, ūkiniams gyvūnams ir miškui, hidrotechnikos įrenginiams, vadovaujantis šia metodika, vertinama ir apskaičiuojama Lietuvos</w:t>
      </w:r>
      <w:r>
        <w:rPr>
          <w:color w:val="FF0000"/>
          <w:szCs w:val="24"/>
        </w:rPr>
        <w:t xml:space="preserve"> </w:t>
      </w:r>
      <w:r>
        <w:rPr>
          <w:szCs w:val="24"/>
        </w:rPr>
        <w:t>Respublikos medžiok</w:t>
      </w:r>
      <w:r>
        <w:rPr>
          <w:szCs w:val="24"/>
        </w:rPr>
        <w:t>lės įstatymo 18 straipsnyje numatytais atvejais.</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Medžiojamųjų gyvūnų padarytos žalos dydis turi būti įvertintas per 7 kalendorines dienas nuo atitinkamo žemės, miško ar vandens telkinio savininko, valdytojo ar naudotojo prašymo gavimo seniūnijoje, išskyrus</w:t>
      </w:r>
      <w:r>
        <w:rPr>
          <w:szCs w:val="24"/>
          <w:lang w:eastAsia="lt-LT"/>
        </w:rPr>
        <w:t xml:space="preserve"> atvejį, kai dėl žalos pobūdžio jos dydį įmanoma nustatyti tik praėjus daugiau negu 7 kalendorinėms dienoms (šiuo atveju laikotarpį, kada žala yra geriausiai matoma ir ją įmanoma įvertinti, pasirenka  </w:t>
      </w:r>
      <w:r>
        <w:rPr>
          <w:szCs w:val="24"/>
        </w:rPr>
        <w:t>savivaldybės komisija medžiojamųjų gyvūnų padarytai žal</w:t>
      </w:r>
      <w:r>
        <w:rPr>
          <w:szCs w:val="24"/>
        </w:rPr>
        <w:t>ai įvertinti).</w:t>
      </w:r>
      <w:r>
        <w:rPr>
          <w:szCs w:val="24"/>
          <w:lang w:eastAsia="lt-LT"/>
        </w:rPr>
        <w:t xml:space="preserve">  </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Vertinant medžiojamųjų gyvūnų padarytos žalos dydį vietoje, surašomas Medžiojamųjų gyvūnų padarytos žalos apžiūros aktas (1 priedas).</w:t>
      </w:r>
    </w:p>
    <w:p w:rsidR="0074548F" w:rsidRDefault="0083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3. Žalą atlyginant valstybės vardu</w:t>
      </w:r>
      <w:r>
        <w:rPr>
          <w:b/>
          <w:szCs w:val="24"/>
          <w:lang w:eastAsia="lt-LT"/>
        </w:rPr>
        <w:t>,</w:t>
      </w:r>
      <w:r>
        <w:rPr>
          <w:szCs w:val="24"/>
          <w:lang w:eastAsia="lt-LT"/>
        </w:rPr>
        <w:t xml:space="preserve"> vadovaujamasi 2013 m. gruodžio 18 d. Komisijos reglamento (ES) Nr. 1408/2013 dėl Sutarties dėl Europos Sąjungos veikimo 107 ir 108 straipsnių taikymo </w:t>
      </w:r>
      <w:r>
        <w:rPr>
          <w:i/>
          <w:szCs w:val="24"/>
          <w:lang w:eastAsia="lt-LT"/>
        </w:rPr>
        <w:t xml:space="preserve">de minimis </w:t>
      </w:r>
      <w:r>
        <w:rPr>
          <w:szCs w:val="24"/>
          <w:lang w:eastAsia="lt-LT"/>
        </w:rPr>
        <w:t>pagalbai žemės ūkio sektoriuje (OL 2013 L 352, p. 9), 2013 m. gruodžio 18 d. Komisijos reglame</w:t>
      </w:r>
      <w:r>
        <w:rPr>
          <w:szCs w:val="24"/>
          <w:lang w:eastAsia="lt-LT"/>
        </w:rPr>
        <w:t xml:space="preserve">nto (ES) Nr. 1407/2013 dėl Sutarties Europos Sąjungos veikimo 107 ir 108 straipsnių taikymo </w:t>
      </w:r>
      <w:r>
        <w:rPr>
          <w:i/>
          <w:szCs w:val="24"/>
          <w:lang w:eastAsia="lt-LT"/>
        </w:rPr>
        <w:t>de minimis</w:t>
      </w:r>
      <w:r>
        <w:rPr>
          <w:szCs w:val="24"/>
          <w:lang w:eastAsia="lt-LT"/>
        </w:rPr>
        <w:t xml:space="preserve"> pagalbai (OL 2013 L 352, p. 1),</w:t>
      </w:r>
      <w:r>
        <w:rPr>
          <w:b/>
          <w:szCs w:val="24"/>
          <w:lang w:eastAsia="lt-LT"/>
        </w:rPr>
        <w:t xml:space="preserve"> </w:t>
      </w:r>
      <w:r>
        <w:rPr>
          <w:szCs w:val="24"/>
          <w:lang w:eastAsia="lt-LT"/>
        </w:rPr>
        <w:t xml:space="preserve">2014 m. birželio 27 d. Komisijos reglamento (ES) Nr. 717/2014 dėl EB sutarties 87 ir 88 straipsnių taikymo </w:t>
      </w:r>
      <w:r>
        <w:rPr>
          <w:i/>
          <w:szCs w:val="24"/>
          <w:lang w:eastAsia="lt-LT"/>
        </w:rPr>
        <w:t>de minimis</w:t>
      </w:r>
      <w:r>
        <w:rPr>
          <w:szCs w:val="24"/>
          <w:lang w:eastAsia="lt-LT"/>
        </w:rPr>
        <w:t xml:space="preserve"> val</w:t>
      </w:r>
      <w:r>
        <w:rPr>
          <w:szCs w:val="24"/>
          <w:lang w:eastAsia="lt-LT"/>
        </w:rPr>
        <w:t>stybės pagalbai žuvininkystės sektoriui, Europos Sąjungos valstybės pagalbos žemės ūkio ir miškininkystės sektoriaus ir kaimo vietovėse gairių 2014–2020 m. (2014/C 204/01) nuostatomis.</w:t>
      </w:r>
      <w:r>
        <w:t xml:space="preserve"> </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D1-603/3D-652</w:t>
        </w:r>
      </w:hyperlink>
      <w:r>
        <w:rPr>
          <w:rFonts w:eastAsia="MS Mincho"/>
          <w:i/>
          <w:iCs/>
          <w:sz w:val="20"/>
        </w:rPr>
        <w:t>, 2015-08-21, paskelbta TAR 2015-08-21, i. k. 2015-12505</w:t>
      </w:r>
    </w:p>
    <w:p w:rsidR="0074548F" w:rsidRDefault="0074548F"/>
    <w:p w:rsidR="0074548F" w:rsidRDefault="008324B0">
      <w:pPr>
        <w:ind w:firstLine="567"/>
        <w:jc w:val="both"/>
        <w:rPr>
          <w:rFonts w:eastAsia="Calibri"/>
          <w:szCs w:val="24"/>
        </w:rPr>
      </w:pPr>
      <w:r>
        <w:rPr>
          <w:rFonts w:eastAsia="Calibri"/>
          <w:szCs w:val="24"/>
        </w:rPr>
        <w:t>4. Žalą valstybės vardu atlyginanti</w:t>
      </w:r>
      <w:r>
        <w:rPr>
          <w:rFonts w:eastAsia="Calibri"/>
          <w:b/>
          <w:szCs w:val="24"/>
        </w:rPr>
        <w:t xml:space="preserve"> </w:t>
      </w:r>
      <w:r>
        <w:rPr>
          <w:rFonts w:eastAsia="Calibri"/>
          <w:szCs w:val="24"/>
        </w:rPr>
        <w:t xml:space="preserve">institucija, prieš atlygindama medžiojamųjų gyvūnų padarytą žalą žemės, miško ir vandens telkinių </w:t>
      </w:r>
      <w:r>
        <w:rPr>
          <w:rFonts w:eastAsia="Calibri"/>
          <w:szCs w:val="24"/>
        </w:rPr>
        <w:t>sklypų savininkams, valdytojams ir naudotojams, vadovaudamasi Suteiktos valstybės pagalbos registro nuostatais, patvirtintais Lietuvos Respublikos Vyriausybės 2005 m. sausio 19 d. nutarimu Nr. 35 „Dėl Suteiktos valstybės pagalbos registro įsteigimo, jo nuo</w:t>
      </w:r>
      <w:r>
        <w:rPr>
          <w:rFonts w:eastAsia="Calibri"/>
          <w:szCs w:val="24"/>
        </w:rPr>
        <w:t xml:space="preserve">statų patvirtinimo ir veiklos pradžios nustatymo“, ir Suteiktos valstybės pagalbos registravimo taisyklėmis, patvirtintomis Lietuvos Respublikos konkurencijos tarybos 2005 m. rugsėjo 29 d. nutarimu Nr. 1S-111 „Dėl Suteiktos valstybės pagalbos registravimo </w:t>
      </w:r>
      <w:r>
        <w:rPr>
          <w:rFonts w:eastAsia="Calibri"/>
          <w:szCs w:val="24"/>
        </w:rPr>
        <w:t xml:space="preserve">taisyklių </w:t>
      </w:r>
      <w:r>
        <w:rPr>
          <w:rFonts w:eastAsia="Calibri"/>
          <w:szCs w:val="24"/>
        </w:rPr>
        <w:lastRenderedPageBreak/>
        <w:t xml:space="preserve">patvirtinimo“, patikrina, ar bendra per atitinkamus mokestinius ir dvejus ankstesnius mokestinius metus žemės savininkui, naudotojui ar valdytojui suteikta </w:t>
      </w:r>
      <w:r>
        <w:rPr>
          <w:rFonts w:eastAsia="Calibri"/>
          <w:i/>
          <w:szCs w:val="24"/>
        </w:rPr>
        <w:t>de minimis</w:t>
      </w:r>
      <w:r>
        <w:rPr>
          <w:rFonts w:eastAsia="Calibri"/>
          <w:szCs w:val="24"/>
        </w:rPr>
        <w:t xml:space="preserve"> pagalba, į kurią įskaitomos ir išmokos už žalą pagal šią metodiką, išskyrus išm</w:t>
      </w:r>
      <w:r>
        <w:rPr>
          <w:rFonts w:eastAsia="Calibri"/>
          <w:szCs w:val="24"/>
        </w:rPr>
        <w:t>okas už vilkų ūkiniams gyvūnams padarytą žalą (jei buvo taikytos prevencinės apsaugos priemonės) ir išmokas už stumbrų padarytą žalą,</w:t>
      </w:r>
      <w:r>
        <w:rPr>
          <w:rFonts w:eastAsia="Calibri"/>
          <w:b/>
          <w:szCs w:val="24"/>
        </w:rPr>
        <w:t xml:space="preserve"> </w:t>
      </w:r>
      <w:r>
        <w:rPr>
          <w:rFonts w:eastAsia="Calibri"/>
          <w:szCs w:val="24"/>
        </w:rPr>
        <w:t xml:space="preserve">neviršys 3 punkte minimuose Reglamentuose nustatyto maksimalaus leistino </w:t>
      </w:r>
      <w:r>
        <w:rPr>
          <w:rFonts w:eastAsia="Calibri"/>
          <w:i/>
          <w:szCs w:val="24"/>
        </w:rPr>
        <w:t>de minimis</w:t>
      </w:r>
      <w:r>
        <w:rPr>
          <w:rFonts w:eastAsia="Calibri"/>
          <w:szCs w:val="24"/>
        </w:rPr>
        <w:t xml:space="preserve"> pagalbos dydžio</w:t>
      </w:r>
      <w:r>
        <w:rPr>
          <w:rFonts w:eastAsia="Calibri"/>
          <w:b/>
          <w:szCs w:val="24"/>
        </w:rPr>
        <w:t>.</w:t>
      </w:r>
      <w:r>
        <w:rPr>
          <w:rFonts w:eastAsia="Calibri"/>
          <w:szCs w:val="24"/>
        </w:rPr>
        <w:t xml:space="preserve"> Jeigu, išmokėjus komp</w:t>
      </w:r>
      <w:r>
        <w:rPr>
          <w:rFonts w:eastAsia="Calibri"/>
          <w:szCs w:val="24"/>
        </w:rPr>
        <w:t xml:space="preserve">ensacinę išmoką, būtų viršytas maksimalus leistinas </w:t>
      </w:r>
      <w:r>
        <w:rPr>
          <w:rFonts w:eastAsia="Calibri"/>
          <w:i/>
          <w:szCs w:val="24"/>
        </w:rPr>
        <w:t>de minimis</w:t>
      </w:r>
      <w:r>
        <w:rPr>
          <w:rFonts w:eastAsia="Calibri"/>
          <w:szCs w:val="24"/>
        </w:rPr>
        <w:t xml:space="preserve"> pagalbos dydis, apskaičiuota</w:t>
      </w:r>
      <w:r>
        <w:rPr>
          <w:rFonts w:eastAsia="Calibri"/>
          <w:b/>
          <w:szCs w:val="24"/>
        </w:rPr>
        <w:t xml:space="preserve"> </w:t>
      </w:r>
      <w:r>
        <w:rPr>
          <w:rFonts w:eastAsia="Calibri"/>
          <w:szCs w:val="24"/>
        </w:rPr>
        <w:t xml:space="preserve">išmoka sumažinama tiek, kad nebūtų pažeistas nurodytasis reglamentas. Informacija apie suteiktą </w:t>
      </w:r>
      <w:r>
        <w:rPr>
          <w:rFonts w:eastAsia="Calibri"/>
          <w:i/>
          <w:szCs w:val="24"/>
        </w:rPr>
        <w:t>de minimis</w:t>
      </w:r>
      <w:r>
        <w:rPr>
          <w:rFonts w:eastAsia="Calibri"/>
          <w:szCs w:val="24"/>
        </w:rPr>
        <w:t xml:space="preserve"> pagalbą žemės savininkui, naudotojui ar valdytojui, vadov</w:t>
      </w:r>
      <w:r>
        <w:rPr>
          <w:rFonts w:eastAsia="Calibri"/>
          <w:szCs w:val="24"/>
        </w:rPr>
        <w:t xml:space="preserve">aujantis Suteiktos valstybės pagalbos registro nuostatais ir Suteiktos valstybės pagalbos registravimo taisyklėmis, teikiama Suteiktos valstybės pagalbos registrui ir išmoką gavusiam žemės savininkui, naudotojui ar valdytojui. Žalą atlyginanti institucija </w:t>
      </w:r>
      <w:r>
        <w:rPr>
          <w:rFonts w:eastAsia="Calibri"/>
          <w:szCs w:val="24"/>
        </w:rPr>
        <w:t xml:space="preserve">informuoja išmoką gavusį žemės, miško ar vandens telkinio savininką, naudotoją ar valdytoją apie jam skirtą </w:t>
      </w:r>
      <w:r>
        <w:rPr>
          <w:rFonts w:eastAsia="Calibri"/>
          <w:i/>
          <w:szCs w:val="24"/>
        </w:rPr>
        <w:t>de minimis</w:t>
      </w:r>
      <w:r>
        <w:rPr>
          <w:rFonts w:eastAsia="Calibri"/>
          <w:szCs w:val="24"/>
        </w:rPr>
        <w:t xml:space="preserve"> pagalbos dydį, kartu nurodydama Reglamentą.</w:t>
      </w:r>
    </w:p>
    <w:p w:rsidR="0074548F" w:rsidRDefault="008324B0">
      <w:pPr>
        <w:ind w:firstLine="567"/>
        <w:jc w:val="both"/>
        <w:rPr>
          <w:rFonts w:eastAsia="Calibri"/>
          <w:szCs w:val="24"/>
        </w:rPr>
      </w:pPr>
      <w:r>
        <w:rPr>
          <w:rFonts w:eastAsia="Calibri"/>
          <w:szCs w:val="24"/>
        </w:rPr>
        <w:t>Žalą valstybės vardu atlyginanti institucija, kompensuodama pirminės žemės ūkio produktų gamy</w:t>
      </w:r>
      <w:r>
        <w:rPr>
          <w:rFonts w:eastAsia="Calibri"/>
          <w:szCs w:val="24"/>
        </w:rPr>
        <w:t>bos veiklą vykdančioms įmonėms už vilkų ūkiniams gyvūnams padarytą žalą (jei buvo taikytos prevencinės apsaugos priemonės) ir už stumbrų padarytą žalą, vadovaujasi Europos Sąjungos valstybės pagalbos žemės ūkio ir miškininkystės sektoriaus ir kaimo vietovė</w:t>
      </w:r>
      <w:r>
        <w:rPr>
          <w:rFonts w:eastAsia="Calibri"/>
          <w:szCs w:val="24"/>
        </w:rPr>
        <w:t>se gairių 2014–2020 m. (2014/C 204/01) nuostatomis. Tuo atveju, kai valstybės pagalba teikiama už vilkų ūkiniams gyvūnams padarytą žalą, iš pagalbos gavėjų reikalaujama, kad būtų taikytos pagrįstos prevencinės priemonės, pavyzdžiui, įvairios apsauginės tvo</w:t>
      </w:r>
      <w:r>
        <w:rPr>
          <w:rFonts w:eastAsia="Calibri"/>
          <w:szCs w:val="24"/>
        </w:rPr>
        <w:t>ros, sarginiai šunys ūkiniams gyvūnams apsaugoti.</w:t>
      </w:r>
    </w:p>
    <w:p w:rsidR="0074548F" w:rsidRDefault="008324B0">
      <w:pPr>
        <w:ind w:firstLine="567"/>
        <w:jc w:val="both"/>
        <w:rPr>
          <w:rFonts w:eastAsia="Calibri"/>
          <w:szCs w:val="24"/>
        </w:rPr>
      </w:pPr>
      <w:r>
        <w:rPr>
          <w:rFonts w:eastAsia="Calibri"/>
          <w:szCs w:val="24"/>
        </w:rPr>
        <w:t xml:space="preserve">Skaičiuojant išmokas, reikia įvertinti, ar žalą padarė vilkai ir/ar stumbrai (nustatyti tiesioginį patirtos žalos priežastinį ryšį dėl vilkų ir/ar stumbrų elgesio). </w:t>
      </w:r>
    </w:p>
    <w:p w:rsidR="0074548F" w:rsidRDefault="008324B0">
      <w:pPr>
        <w:ind w:firstLine="567"/>
        <w:jc w:val="both"/>
        <w:rPr>
          <w:rFonts w:eastAsia="Calibri"/>
          <w:szCs w:val="24"/>
        </w:rPr>
      </w:pPr>
      <w:r>
        <w:rPr>
          <w:rFonts w:eastAsia="Calibri"/>
          <w:szCs w:val="24"/>
        </w:rPr>
        <w:t>Tinkamomis finansuoti išlaidomis gali bū</w:t>
      </w:r>
      <w:r>
        <w:rPr>
          <w:rFonts w:eastAsia="Calibri"/>
          <w:szCs w:val="24"/>
        </w:rPr>
        <w:t>ti laikomos su žala susijusios išlaidos, kurios yra tiesioginė žalą padariusio įvykio pasekmė. Žalos kompensavimas gali apimti:</w:t>
      </w:r>
    </w:p>
    <w:p w:rsidR="0074548F" w:rsidRDefault="008324B0">
      <w:pPr>
        <w:ind w:firstLine="567"/>
        <w:jc w:val="both"/>
        <w:rPr>
          <w:rFonts w:eastAsia="Calibri"/>
          <w:szCs w:val="24"/>
        </w:rPr>
      </w:pPr>
      <w:r>
        <w:rPr>
          <w:rFonts w:eastAsia="Calibri"/>
          <w:szCs w:val="24"/>
        </w:rPr>
        <w:t>1. 100 procentų tiesioginių išlaidų, susijusių su sunaikintų gyvūnų arba augalų rinkos verte;</w:t>
      </w:r>
    </w:p>
    <w:p w:rsidR="0074548F" w:rsidRDefault="008324B0">
      <w:pPr>
        <w:ind w:firstLine="567"/>
        <w:jc w:val="both"/>
        <w:rPr>
          <w:szCs w:val="24"/>
          <w:lang w:eastAsia="lt-LT"/>
        </w:rPr>
      </w:pPr>
      <w:r>
        <w:rPr>
          <w:rFonts w:eastAsia="Calibri"/>
          <w:szCs w:val="24"/>
        </w:rPr>
        <w:t>2. 80 procentų netiesioginių išlai</w:t>
      </w:r>
      <w:r>
        <w:rPr>
          <w:rFonts w:eastAsia="Calibri"/>
          <w:szCs w:val="24"/>
        </w:rPr>
        <w:t>dų, susijusių su sužeistų gyvūnų gydymu</w:t>
      </w:r>
      <w:r>
        <w:t>.</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D1-431/3D-409</w:t>
        </w:r>
      </w:hyperlink>
      <w:r>
        <w:rPr>
          <w:rFonts w:eastAsia="MS Mincho"/>
          <w:i/>
          <w:iCs/>
          <w:sz w:val="20"/>
        </w:rPr>
        <w:t>, 2015-05-22, paskelbta TAR 2015-05-22, i. k. 2015-07791</w:t>
      </w:r>
    </w:p>
    <w:p w:rsidR="0074548F" w:rsidRDefault="008324B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D1-603/3D-652</w:t>
        </w:r>
      </w:hyperlink>
      <w:r>
        <w:rPr>
          <w:rFonts w:eastAsia="MS Mincho"/>
          <w:i/>
          <w:iCs/>
          <w:sz w:val="20"/>
        </w:rPr>
        <w:t>, 2015-08-21, paskelbta TAR 2015-08-21, i. k. 2015-12505</w:t>
      </w:r>
    </w:p>
    <w:p w:rsidR="0074548F" w:rsidRDefault="0074548F"/>
    <w:p w:rsidR="0074548F" w:rsidRDefault="0083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rPr>
        <w:t>5. Jei žemės, miško ir vandens telkinių sklypų savininkams, valdytojams ar naudotojams ja</w:t>
      </w:r>
      <w:r>
        <w:rPr>
          <w:szCs w:val="24"/>
        </w:rPr>
        <w:t xml:space="preserve">u išmokėta draudimo išmoka už žemės pasėlių, gyvūnų ar gyvulių, miško, hidrotechnikos įrenginių ar kitų objektų sunaikinimą ar sužalojimą, iš žalos atlyginimo sumos atimama draudimo išmoka. Visais atvejais medžiojamųjų gyvūnų padarytos žalos kompensuojama </w:t>
      </w:r>
      <w:r>
        <w:rPr>
          <w:szCs w:val="24"/>
        </w:rPr>
        <w:t>suma ūkio subjektui neturi viršyti jo patirtų faktinių nuostolių.</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 Pagrindinės šioje metodikoje vartojamos sąvokos:</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szCs w:val="24"/>
          <w:lang w:eastAsia="lt-LT"/>
        </w:rPr>
      </w:pPr>
      <w:r>
        <w:t xml:space="preserve">6.1. </w:t>
      </w:r>
      <w:r>
        <w:rPr>
          <w:b/>
          <w:szCs w:val="24"/>
          <w:lang w:eastAsia="lt-LT"/>
        </w:rPr>
        <w:t>Medžiojamųjų gyvūnų padaryta žala pasėliams −</w:t>
      </w:r>
      <w:r>
        <w:rPr>
          <w:szCs w:val="24"/>
          <w:lang w:eastAsia="lt-LT"/>
        </w:rPr>
        <w:t xml:space="preserve"> žala, kurią medžiojamieji gyvūnai padaro javų, kukurūzų, bulvių, runkelių ir kitų žemės ūkio kultūrų pasėliams, daugiametėms žolėms, vaistiniams augalams, pievoms ir ganykloms juos ištrypdami, išknisdami, išrausdami, nuskabydami, išraudami ar užtvindydami</w:t>
      </w:r>
      <w:r>
        <w:rPr>
          <w:szCs w:val="24"/>
          <w:lang w:eastAsia="lt-LT"/>
        </w:rPr>
        <w:t>.</w:t>
      </w:r>
      <w:r>
        <w:t xml:space="preserve"> </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6.2. </w:t>
      </w:r>
      <w:r>
        <w:rPr>
          <w:b/>
          <w:szCs w:val="24"/>
          <w:lang w:eastAsia="lt-LT"/>
        </w:rPr>
        <w:t>Medžiojamųjų gyvūnų padaryta žala miškui −</w:t>
      </w:r>
      <w:r>
        <w:rPr>
          <w:szCs w:val="24"/>
          <w:lang w:eastAsia="lt-LT"/>
        </w:rPr>
        <w:t xml:space="preserve"> žala, kurią m</w:t>
      </w:r>
      <w:r>
        <w:rPr>
          <w:szCs w:val="24"/>
          <w:lang w:eastAsia="lt-LT"/>
        </w:rPr>
        <w:t xml:space="preserve">edžiojamieji gyvūnai per metus padaro pakenkdami miško želdiniams ir žėliniams, jaunuolynams ar medynuose augantiems medžiams, nuskabydami jų ūglius, nulaupydami ar nutrindami žievę, nugrauždami kamienus, užtvindydami mišką vegetacijos laikotarpiu, jeigu  </w:t>
      </w:r>
      <w:r>
        <w:rPr>
          <w:szCs w:val="24"/>
          <w:lang w:eastAsia="lt-LT"/>
        </w:rPr>
        <w:t>medžiai  dėl to nudžiūsta.</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6.3. </w:t>
      </w:r>
      <w:r>
        <w:rPr>
          <w:b/>
          <w:szCs w:val="24"/>
          <w:lang w:eastAsia="lt-LT"/>
        </w:rPr>
        <w:t>Medžiojamųjų gyvūnų padaryta žala ūkiniams gyvūnams</w:t>
      </w:r>
      <w:r>
        <w:rPr>
          <w:szCs w:val="24"/>
          <w:lang w:eastAsia="lt-LT"/>
        </w:rPr>
        <w:t xml:space="preserve"> </w:t>
      </w:r>
      <w:r>
        <w:rPr>
          <w:b/>
          <w:szCs w:val="24"/>
          <w:lang w:eastAsia="lt-LT"/>
        </w:rPr>
        <w:t>–</w:t>
      </w:r>
      <w:r>
        <w:rPr>
          <w:szCs w:val="24"/>
          <w:lang w:eastAsia="lt-LT"/>
        </w:rPr>
        <w:t xml:space="preserve"> medžiojamųjų gyvūnų daromas poveikis ūkiniams gyvūnams, dėl kurio pastarieji sužalojami arba nugaišta.</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lastRenderedPageBreak/>
        <w:t xml:space="preserve">6.4. </w:t>
      </w:r>
      <w:r>
        <w:rPr>
          <w:b/>
          <w:szCs w:val="24"/>
          <w:lang w:eastAsia="lt-LT"/>
        </w:rPr>
        <w:t>Miško supamas žemės ūkio pasėlis</w:t>
      </w:r>
      <w:r>
        <w:rPr>
          <w:szCs w:val="24"/>
          <w:lang w:eastAsia="lt-LT"/>
        </w:rPr>
        <w:t xml:space="preserve"> – </w:t>
      </w:r>
      <w:r>
        <w:rPr>
          <w:bCs/>
          <w:szCs w:val="24"/>
        </w:rPr>
        <w:t>žemės ūkio pasėlis, kurio n</w:t>
      </w:r>
      <w:r>
        <w:rPr>
          <w:bCs/>
          <w:szCs w:val="24"/>
        </w:rPr>
        <w:t>e mažiau kaip 75 procentai sklypo perimetro ribojasi su mišku, esančiu ne toliau kaip 500 m atstumu</w:t>
      </w:r>
      <w:r>
        <w:rPr>
          <w:szCs w:val="24"/>
          <w:lang w:eastAsia="lt-LT"/>
        </w:rPr>
        <w:t>.</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6"/>
        <w:jc w:val="both"/>
        <w:rPr>
          <w:szCs w:val="24"/>
          <w:lang w:eastAsia="lt-LT"/>
        </w:rPr>
      </w:pPr>
      <w:r>
        <w:rPr>
          <w:szCs w:val="24"/>
          <w:lang w:eastAsia="lt-LT"/>
        </w:rPr>
        <w:t xml:space="preserve">6.5. </w:t>
      </w:r>
      <w:r>
        <w:rPr>
          <w:b/>
          <w:szCs w:val="24"/>
          <w:lang w:eastAsia="lt-LT"/>
        </w:rPr>
        <w:t>Ūkinis gyvūnas</w:t>
      </w:r>
      <w:r>
        <w:rPr>
          <w:szCs w:val="24"/>
          <w:lang w:eastAsia="lt-LT"/>
        </w:rPr>
        <w:t xml:space="preserve"> − gyvūnas, laikomas ar veisiamas maistui, kailiams, vaistams ir kitai produkcijai gauti, darbo ir kitais ūkininkavimo tikslais.</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6.6. Ki</w:t>
      </w:r>
      <w:r>
        <w:rPr>
          <w:szCs w:val="24"/>
          <w:lang w:eastAsia="lt-LT"/>
        </w:rPr>
        <w:t>tos vartojamos sąvokos suprantamos taip, kaip jas apibrėžia Lietuvos Respublikos medžioklės įstatymas  ir Miško atkūrimo ir įveisimo nuostatai, patvirtinti Lietuvos Respublikos aplinkos ministro 2008 m. balandžio 14 d. įsakymu Nr. D1-199 „Dėl Miško atkūrim</w:t>
      </w:r>
      <w:r>
        <w:rPr>
          <w:szCs w:val="24"/>
          <w:lang w:eastAsia="lt-LT"/>
        </w:rPr>
        <w:t>o ir įveisimo nuostatų“ (toliau – Miško atkūrimo ir įveisimo nuostatai).</w:t>
      </w:r>
    </w:p>
    <w:p w:rsidR="0074548F" w:rsidRDefault="0074548F">
      <w:pPr>
        <w:tabs>
          <w:tab w:val="left" w:pos="142"/>
          <w:tab w:val="left" w:pos="1296"/>
          <w:tab w:val="left" w:pos="2592"/>
        </w:tabs>
        <w:ind w:firstLine="3600"/>
        <w:jc w:val="both"/>
        <w:rPr>
          <w:szCs w:val="24"/>
          <w:lang w:eastAsia="lt-LT"/>
        </w:rPr>
      </w:pP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rPr>
      </w:pPr>
      <w:r>
        <w:rPr>
          <w:b/>
          <w:szCs w:val="24"/>
        </w:rPr>
        <w:t>II SKYRIUS</w:t>
      </w:r>
    </w:p>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ŽEMĖS ŪKIO PASĖLIAMS PADARYTOS ŽALOS APSKAIČIAVIMAS</w:t>
      </w:r>
    </w:p>
    <w:p w:rsidR="0074548F" w:rsidRDefault="0074548F">
      <w:pPr>
        <w:tabs>
          <w:tab w:val="left" w:pos="142"/>
          <w:tab w:val="left" w:pos="5760"/>
        </w:tabs>
        <w:ind w:firstLine="5760"/>
        <w:rPr>
          <w:b/>
          <w:szCs w:val="24"/>
        </w:rPr>
      </w:pPr>
    </w:p>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7. Žemės ūkio pasėliams padarytos žalos dydžiui apskaičiuoti nustatomas plotas, kuriame pasėlis yra pakenktas </w:t>
      </w:r>
      <w:r>
        <w:rPr>
          <w:szCs w:val="24"/>
          <w:lang w:eastAsia="lt-LT"/>
        </w:rPr>
        <w:t>medžiojamųjų gyvūnų, ir pasėlio pakenkimo intensyvumas:</w:t>
      </w:r>
    </w:p>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7.1. plotas, kuriame yra medžiojamųjų gyvūnų pakenktas pasėlis, nustatomas išmatavus visas pasėlio dalis, kuriose pastebimi medžiojamųjų gyvūnų padaryti pakenkimai;</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7.2. pasėlio pakenkimo intensyvumas</w:t>
      </w:r>
      <w:r>
        <w:rPr>
          <w:szCs w:val="24"/>
          <w:lang w:eastAsia="lt-LT"/>
        </w:rPr>
        <w:t xml:space="preserve"> nustatomas, įvertinant, kokiu laipsniu (procentais) pakenktame plote lauktinas derlius sumažės, lyginant su nepakenktomis pasėlio vietomis. Jeigu atskiri pakenkti pasėlio plotai yra pakenkti nevienodai intensyviai, vidutinis svertinis pasėlio pakenkimo in</w:t>
      </w:r>
      <w:r>
        <w:rPr>
          <w:szCs w:val="24"/>
          <w:lang w:eastAsia="lt-LT"/>
        </w:rPr>
        <w:t>tensyvumas suskaičiuojamas pagal formulę:</w:t>
      </w:r>
    </w:p>
    <w:tbl>
      <w:tblPr>
        <w:tblW w:w="0" w:type="auto"/>
        <w:jc w:val="center"/>
        <w:tblLayout w:type="fixed"/>
        <w:tblLook w:val="04A0" w:firstRow="1" w:lastRow="0" w:firstColumn="1" w:lastColumn="0" w:noHBand="0" w:noVBand="1"/>
      </w:tblPr>
      <w:tblGrid>
        <w:gridCol w:w="2840"/>
        <w:gridCol w:w="2655"/>
        <w:gridCol w:w="2840"/>
      </w:tblGrid>
      <w:tr w:rsidR="0074548F">
        <w:trPr>
          <w:cantSplit/>
          <w:jc w:val="center"/>
        </w:trPr>
        <w:tc>
          <w:tcPr>
            <w:tcW w:w="2840" w:type="dxa"/>
            <w:vMerge w:val="restart"/>
            <w:vAlign w:val="center"/>
            <w:hideMark/>
          </w:tcPr>
          <w:p w:rsidR="0074548F" w:rsidRDefault="008324B0">
            <w:pPr>
              <w:jc w:val="right"/>
              <w:rPr>
                <w:szCs w:val="24"/>
              </w:rPr>
            </w:pPr>
            <w:r>
              <w:rPr>
                <w:szCs w:val="24"/>
              </w:rPr>
              <w:t>X =</w:t>
            </w:r>
          </w:p>
        </w:tc>
        <w:tc>
          <w:tcPr>
            <w:tcW w:w="2655" w:type="dxa"/>
            <w:tcBorders>
              <w:top w:val="nil"/>
              <w:left w:val="nil"/>
              <w:bottom w:val="single" w:sz="4" w:space="0" w:color="auto"/>
              <w:right w:val="nil"/>
            </w:tcBorders>
            <w:hideMark/>
          </w:tcPr>
          <w:p w:rsidR="0074548F" w:rsidRDefault="008324B0">
            <w:pPr>
              <w:jc w:val="center"/>
              <w:rPr>
                <w:szCs w:val="24"/>
                <w:vertAlign w:val="subscript"/>
              </w:rPr>
            </w:pPr>
            <w:r>
              <w:rPr>
                <w:szCs w:val="24"/>
              </w:rPr>
              <w:t>S</w:t>
            </w:r>
            <w:r>
              <w:rPr>
                <w:szCs w:val="24"/>
                <w:vertAlign w:val="subscript"/>
              </w:rPr>
              <w:t>1</w:t>
            </w:r>
            <w:r>
              <w:rPr>
                <w:szCs w:val="24"/>
              </w:rPr>
              <w:t>p</w:t>
            </w:r>
            <w:r>
              <w:rPr>
                <w:szCs w:val="24"/>
                <w:vertAlign w:val="subscript"/>
              </w:rPr>
              <w:t>1</w:t>
            </w:r>
            <w:r>
              <w:rPr>
                <w:szCs w:val="24"/>
              </w:rPr>
              <w:t>+S</w:t>
            </w:r>
            <w:r>
              <w:rPr>
                <w:szCs w:val="24"/>
                <w:vertAlign w:val="subscript"/>
              </w:rPr>
              <w:t>2</w:t>
            </w:r>
            <w:r>
              <w:rPr>
                <w:szCs w:val="24"/>
              </w:rPr>
              <w:t>p</w:t>
            </w:r>
            <w:r>
              <w:rPr>
                <w:szCs w:val="24"/>
                <w:vertAlign w:val="subscript"/>
              </w:rPr>
              <w:t>2</w:t>
            </w:r>
            <w:r>
              <w:rPr>
                <w:szCs w:val="24"/>
              </w:rPr>
              <w:t>+S</w:t>
            </w:r>
            <w:r>
              <w:rPr>
                <w:szCs w:val="24"/>
                <w:vertAlign w:val="subscript"/>
              </w:rPr>
              <w:t>3</w:t>
            </w:r>
            <w:r>
              <w:rPr>
                <w:szCs w:val="24"/>
              </w:rPr>
              <w:t>p</w:t>
            </w:r>
            <w:r>
              <w:rPr>
                <w:szCs w:val="24"/>
                <w:vertAlign w:val="subscript"/>
              </w:rPr>
              <w:t>3</w:t>
            </w:r>
            <w:r>
              <w:rPr>
                <w:szCs w:val="24"/>
              </w:rPr>
              <w:t>+…+S</w:t>
            </w:r>
            <w:r>
              <w:rPr>
                <w:szCs w:val="24"/>
                <w:vertAlign w:val="subscript"/>
              </w:rPr>
              <w:t>n</w:t>
            </w:r>
            <w:r>
              <w:rPr>
                <w:szCs w:val="24"/>
              </w:rPr>
              <w:t>p</w:t>
            </w:r>
            <w:r>
              <w:rPr>
                <w:szCs w:val="24"/>
                <w:vertAlign w:val="subscript"/>
              </w:rPr>
              <w:t>n</w:t>
            </w:r>
          </w:p>
        </w:tc>
        <w:tc>
          <w:tcPr>
            <w:tcW w:w="2840" w:type="dxa"/>
            <w:vMerge w:val="restart"/>
            <w:vAlign w:val="center"/>
            <w:hideMark/>
          </w:tcPr>
          <w:p w:rsidR="0074548F" w:rsidRDefault="008324B0">
            <w:pPr>
              <w:ind w:hanging="108"/>
              <w:jc w:val="both"/>
              <w:rPr>
                <w:szCs w:val="24"/>
              </w:rPr>
            </w:pPr>
            <w:r>
              <w:rPr>
                <w:szCs w:val="24"/>
              </w:rPr>
              <w:t>, (%)</w:t>
            </w:r>
          </w:p>
        </w:tc>
      </w:tr>
      <w:tr w:rsidR="0074548F">
        <w:trPr>
          <w:cantSplit/>
          <w:jc w:val="center"/>
        </w:trPr>
        <w:tc>
          <w:tcPr>
            <w:tcW w:w="2840" w:type="dxa"/>
            <w:vMerge/>
            <w:vAlign w:val="center"/>
            <w:hideMark/>
          </w:tcPr>
          <w:p w:rsidR="0074548F" w:rsidRDefault="0074548F">
            <w:pPr>
              <w:rPr>
                <w:szCs w:val="24"/>
              </w:rPr>
            </w:pPr>
          </w:p>
        </w:tc>
        <w:tc>
          <w:tcPr>
            <w:tcW w:w="2655" w:type="dxa"/>
            <w:hideMark/>
          </w:tcPr>
          <w:p w:rsidR="0074548F" w:rsidRDefault="008324B0">
            <w:pPr>
              <w:jc w:val="center"/>
              <w:rPr>
                <w:szCs w:val="24"/>
              </w:rPr>
            </w:pPr>
            <w:r>
              <w:rPr>
                <w:szCs w:val="24"/>
              </w:rPr>
              <w:t>S</w:t>
            </w:r>
            <w:r>
              <w:rPr>
                <w:szCs w:val="24"/>
                <w:vertAlign w:val="subscript"/>
              </w:rPr>
              <w:t>1</w:t>
            </w:r>
            <w:r>
              <w:rPr>
                <w:szCs w:val="24"/>
              </w:rPr>
              <w:t>+S</w:t>
            </w:r>
            <w:r>
              <w:rPr>
                <w:szCs w:val="24"/>
                <w:vertAlign w:val="subscript"/>
              </w:rPr>
              <w:t>2</w:t>
            </w:r>
            <w:r>
              <w:rPr>
                <w:szCs w:val="24"/>
              </w:rPr>
              <w:t>+S</w:t>
            </w:r>
            <w:r>
              <w:rPr>
                <w:szCs w:val="24"/>
                <w:vertAlign w:val="subscript"/>
              </w:rPr>
              <w:t>3</w:t>
            </w:r>
            <w:r>
              <w:rPr>
                <w:szCs w:val="24"/>
              </w:rPr>
              <w:t>+…+S</w:t>
            </w:r>
            <w:r>
              <w:rPr>
                <w:szCs w:val="24"/>
                <w:vertAlign w:val="subscript"/>
              </w:rPr>
              <w:t>n</w:t>
            </w:r>
          </w:p>
        </w:tc>
        <w:tc>
          <w:tcPr>
            <w:tcW w:w="2840" w:type="dxa"/>
            <w:vMerge/>
            <w:vAlign w:val="center"/>
            <w:hideMark/>
          </w:tcPr>
          <w:p w:rsidR="0074548F" w:rsidRDefault="0074548F">
            <w:pPr>
              <w:rPr>
                <w:szCs w:val="24"/>
              </w:rPr>
            </w:pPr>
          </w:p>
        </w:tc>
      </w:tr>
    </w:tbl>
    <w:p w:rsidR="0074548F" w:rsidRDefault="0083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Cs w:val="24"/>
          <w:lang w:eastAsia="lt-LT"/>
        </w:rPr>
      </w:pPr>
      <w:r>
        <w:rPr>
          <w:szCs w:val="24"/>
          <w:lang w:eastAsia="lt-LT"/>
        </w:rPr>
        <w:t>X - vidutinis svertinis pasėlio pakenkimo intensyvumas, %;</w:t>
      </w:r>
    </w:p>
    <w:p w:rsidR="0074548F" w:rsidRDefault="0083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Cs w:val="24"/>
          <w:lang w:eastAsia="lt-LT"/>
        </w:rPr>
      </w:pPr>
      <w:r>
        <w:rPr>
          <w:szCs w:val="24"/>
          <w:lang w:eastAsia="lt-LT"/>
        </w:rPr>
        <w:t>S</w:t>
      </w:r>
      <w:r>
        <w:rPr>
          <w:szCs w:val="24"/>
          <w:vertAlign w:val="subscript"/>
          <w:lang w:eastAsia="lt-LT"/>
        </w:rPr>
        <w:t>1</w:t>
      </w:r>
      <w:r>
        <w:rPr>
          <w:szCs w:val="24"/>
          <w:lang w:eastAsia="lt-LT"/>
        </w:rPr>
        <w:t>, S</w:t>
      </w:r>
      <w:r>
        <w:rPr>
          <w:szCs w:val="24"/>
          <w:vertAlign w:val="subscript"/>
          <w:lang w:eastAsia="lt-LT"/>
        </w:rPr>
        <w:t>2</w:t>
      </w:r>
      <w:r>
        <w:rPr>
          <w:szCs w:val="24"/>
          <w:lang w:eastAsia="lt-LT"/>
        </w:rPr>
        <w:t>, S</w:t>
      </w:r>
      <w:r>
        <w:rPr>
          <w:szCs w:val="24"/>
          <w:vertAlign w:val="subscript"/>
          <w:lang w:eastAsia="lt-LT"/>
        </w:rPr>
        <w:t>3</w:t>
      </w:r>
      <w:r>
        <w:rPr>
          <w:szCs w:val="24"/>
          <w:lang w:eastAsia="lt-LT"/>
        </w:rPr>
        <w:t>...S</w:t>
      </w:r>
      <w:r>
        <w:rPr>
          <w:szCs w:val="24"/>
          <w:vertAlign w:val="subscript"/>
          <w:lang w:eastAsia="lt-LT"/>
        </w:rPr>
        <w:t>n</w:t>
      </w:r>
      <w:r>
        <w:rPr>
          <w:szCs w:val="24"/>
          <w:lang w:eastAsia="lt-LT"/>
        </w:rPr>
        <w:t xml:space="preserve"> - pasėlio dalių, pakenktų nevienodai intensyviai, plotai, ha;</w:t>
      </w:r>
    </w:p>
    <w:p w:rsidR="0074548F" w:rsidRDefault="0083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Cs w:val="24"/>
          <w:lang w:eastAsia="lt-LT"/>
        </w:rPr>
      </w:pPr>
      <w:r>
        <w:rPr>
          <w:szCs w:val="24"/>
          <w:lang w:eastAsia="lt-LT"/>
        </w:rPr>
        <w:t>p</w:t>
      </w:r>
      <w:r>
        <w:rPr>
          <w:szCs w:val="24"/>
          <w:vertAlign w:val="subscript"/>
          <w:lang w:eastAsia="lt-LT"/>
        </w:rPr>
        <w:t>1</w:t>
      </w:r>
      <w:r>
        <w:rPr>
          <w:szCs w:val="24"/>
          <w:lang w:eastAsia="lt-LT"/>
        </w:rPr>
        <w:t>, p</w:t>
      </w:r>
      <w:r>
        <w:rPr>
          <w:szCs w:val="24"/>
          <w:vertAlign w:val="subscript"/>
          <w:lang w:eastAsia="lt-LT"/>
        </w:rPr>
        <w:t>2</w:t>
      </w:r>
      <w:r>
        <w:rPr>
          <w:szCs w:val="24"/>
          <w:lang w:eastAsia="lt-LT"/>
        </w:rPr>
        <w:t>, p</w:t>
      </w:r>
      <w:r>
        <w:rPr>
          <w:szCs w:val="24"/>
          <w:vertAlign w:val="subscript"/>
          <w:lang w:eastAsia="lt-LT"/>
        </w:rPr>
        <w:t>3</w:t>
      </w:r>
      <w:r>
        <w:rPr>
          <w:szCs w:val="24"/>
          <w:lang w:eastAsia="lt-LT"/>
        </w:rPr>
        <w:t>...p</w:t>
      </w:r>
      <w:r>
        <w:rPr>
          <w:szCs w:val="24"/>
          <w:vertAlign w:val="subscript"/>
          <w:lang w:eastAsia="lt-LT"/>
        </w:rPr>
        <w:t>n</w:t>
      </w:r>
      <w:r>
        <w:rPr>
          <w:szCs w:val="24"/>
          <w:lang w:eastAsia="lt-LT"/>
        </w:rPr>
        <w:t xml:space="preserve"> - atskirų pakenktų pasėlio dalių pakenkimo intensyvumas,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rFonts w:eastAsia="Calibri"/>
          <w:szCs w:val="24"/>
        </w:rPr>
        <w:t xml:space="preserve">8. </w:t>
      </w:r>
      <w:r>
        <w:rPr>
          <w:szCs w:val="24"/>
          <w:lang w:eastAsia="lt-LT"/>
        </w:rPr>
        <w:t>Derliaus netekimas (tonomis) apskaičiuojamas padauginant einamųjų metų žemės ūkio veiklos subjekto (jei tvarkoma dvejybinė apskaita) arba savivaldybės (jei tvarkoma supaprastintoji arba netvar</w:t>
      </w:r>
      <w:r>
        <w:rPr>
          <w:szCs w:val="24"/>
          <w:lang w:eastAsia="lt-LT"/>
        </w:rPr>
        <w:t>koma jokia apskaita) pasėlio vidutinį derlingumą iš vidutinio svertinio pasėlio pakenkimo intensyvumo ir ploto, kuriame pasėlis yra pakenktas, pagal formulę: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74548F">
        <w:trPr>
          <w:cantSplit/>
        </w:trPr>
        <w:tc>
          <w:tcPr>
            <w:tcW w:w="2840" w:type="dxa"/>
            <w:vMerge w:val="restart"/>
            <w:tcBorders>
              <w:top w:val="nil"/>
              <w:left w:val="nil"/>
              <w:bottom w:val="nil"/>
              <w:right w:val="nil"/>
            </w:tcBorders>
            <w:vAlign w:val="center"/>
          </w:tcPr>
          <w:p w:rsidR="0074548F" w:rsidRDefault="0074548F">
            <w:pPr>
              <w:tabs>
                <w:tab w:val="left" w:pos="0"/>
              </w:tabs>
              <w:jc w:val="right"/>
              <w:rPr>
                <w:rFonts w:eastAsia="Calibri"/>
                <w:szCs w:val="24"/>
              </w:rPr>
            </w:pPr>
          </w:p>
          <w:p w:rsidR="0074548F" w:rsidRDefault="008324B0">
            <w:pPr>
              <w:tabs>
                <w:tab w:val="left" w:pos="0"/>
              </w:tabs>
              <w:jc w:val="right"/>
              <w:rPr>
                <w:rFonts w:eastAsia="Calibri"/>
                <w:szCs w:val="24"/>
              </w:rPr>
            </w:pPr>
            <w:r>
              <w:rPr>
                <w:rFonts w:eastAsia="Calibri"/>
                <w:szCs w:val="24"/>
              </w:rPr>
              <w:t>N =</w:t>
            </w:r>
          </w:p>
        </w:tc>
        <w:tc>
          <w:tcPr>
            <w:tcW w:w="2840" w:type="dxa"/>
            <w:tcBorders>
              <w:top w:val="nil"/>
              <w:left w:val="nil"/>
              <w:right w:val="nil"/>
            </w:tcBorders>
          </w:tcPr>
          <w:p w:rsidR="0074548F" w:rsidRDefault="008324B0">
            <w:pPr>
              <w:tabs>
                <w:tab w:val="left" w:pos="0"/>
              </w:tabs>
              <w:jc w:val="center"/>
              <w:rPr>
                <w:rFonts w:eastAsia="Calibri"/>
                <w:szCs w:val="24"/>
                <w:vertAlign w:val="subscript"/>
              </w:rPr>
            </w:pPr>
            <w:r>
              <w:rPr>
                <w:rFonts w:eastAsia="Calibri"/>
                <w:szCs w:val="24"/>
              </w:rPr>
              <w:t>DX(S</w:t>
            </w:r>
            <w:r>
              <w:rPr>
                <w:rFonts w:eastAsia="Calibri"/>
                <w:szCs w:val="24"/>
                <w:vertAlign w:val="subscript"/>
              </w:rPr>
              <w:t>1</w:t>
            </w:r>
            <w:r>
              <w:rPr>
                <w:rFonts w:eastAsia="Calibri"/>
                <w:szCs w:val="24"/>
              </w:rPr>
              <w:t>+S</w:t>
            </w:r>
            <w:r>
              <w:rPr>
                <w:rFonts w:eastAsia="Calibri"/>
                <w:szCs w:val="24"/>
                <w:vertAlign w:val="subscript"/>
              </w:rPr>
              <w:t>2</w:t>
            </w:r>
            <w:r>
              <w:rPr>
                <w:rFonts w:eastAsia="Calibri"/>
                <w:szCs w:val="24"/>
              </w:rPr>
              <w:t>+S</w:t>
            </w:r>
            <w:r>
              <w:rPr>
                <w:rFonts w:eastAsia="Calibri"/>
                <w:szCs w:val="24"/>
                <w:vertAlign w:val="subscript"/>
              </w:rPr>
              <w:t>3</w:t>
            </w:r>
            <w:r>
              <w:rPr>
                <w:rFonts w:eastAsia="Calibri"/>
                <w:szCs w:val="24"/>
              </w:rPr>
              <w:t>+…+S</w:t>
            </w:r>
            <w:r>
              <w:rPr>
                <w:rFonts w:eastAsia="Calibri"/>
                <w:szCs w:val="24"/>
                <w:vertAlign w:val="subscript"/>
              </w:rPr>
              <w:t>n</w:t>
            </w:r>
            <w:r>
              <w:rPr>
                <w:rFonts w:eastAsia="Calibri"/>
                <w:szCs w:val="24"/>
              </w:rPr>
              <w:t>)</w:t>
            </w:r>
          </w:p>
        </w:tc>
        <w:tc>
          <w:tcPr>
            <w:tcW w:w="2840" w:type="dxa"/>
            <w:vMerge w:val="restart"/>
            <w:tcBorders>
              <w:top w:val="nil"/>
              <w:left w:val="nil"/>
              <w:bottom w:val="nil"/>
              <w:right w:val="nil"/>
            </w:tcBorders>
            <w:vAlign w:val="center"/>
          </w:tcPr>
          <w:p w:rsidR="0074548F" w:rsidRDefault="008324B0">
            <w:pPr>
              <w:tabs>
                <w:tab w:val="left" w:pos="0"/>
              </w:tabs>
              <w:ind w:hanging="108"/>
              <w:jc w:val="both"/>
              <w:rPr>
                <w:rFonts w:eastAsia="Calibri"/>
                <w:szCs w:val="24"/>
              </w:rPr>
            </w:pPr>
            <w:r>
              <w:rPr>
                <w:rFonts w:eastAsia="Calibri"/>
                <w:szCs w:val="24"/>
              </w:rPr>
              <w:t>, (t)</w:t>
            </w:r>
          </w:p>
        </w:tc>
      </w:tr>
      <w:tr w:rsidR="0074548F">
        <w:trPr>
          <w:cantSplit/>
        </w:trPr>
        <w:tc>
          <w:tcPr>
            <w:tcW w:w="2840" w:type="dxa"/>
            <w:vMerge/>
            <w:tcBorders>
              <w:top w:val="nil"/>
              <w:left w:val="nil"/>
              <w:bottom w:val="nil"/>
              <w:right w:val="nil"/>
            </w:tcBorders>
          </w:tcPr>
          <w:p w:rsidR="0074548F" w:rsidRDefault="0074548F">
            <w:pPr>
              <w:tabs>
                <w:tab w:val="left" w:pos="0"/>
              </w:tabs>
              <w:jc w:val="both"/>
              <w:rPr>
                <w:rFonts w:eastAsia="Calibri"/>
                <w:szCs w:val="24"/>
              </w:rPr>
            </w:pPr>
          </w:p>
        </w:tc>
        <w:tc>
          <w:tcPr>
            <w:tcW w:w="2840" w:type="dxa"/>
            <w:tcBorders>
              <w:left w:val="nil"/>
              <w:bottom w:val="nil"/>
              <w:right w:val="nil"/>
            </w:tcBorders>
          </w:tcPr>
          <w:p w:rsidR="0074548F" w:rsidRDefault="008324B0">
            <w:pPr>
              <w:tabs>
                <w:tab w:val="left" w:pos="0"/>
              </w:tabs>
              <w:jc w:val="center"/>
              <w:rPr>
                <w:rFonts w:eastAsia="Calibri"/>
                <w:szCs w:val="24"/>
              </w:rPr>
            </w:pPr>
            <w:r>
              <w:rPr>
                <w:rFonts w:eastAsia="Calibri"/>
                <w:szCs w:val="24"/>
              </w:rPr>
              <w:t>100</w:t>
            </w:r>
          </w:p>
        </w:tc>
        <w:tc>
          <w:tcPr>
            <w:tcW w:w="2840" w:type="dxa"/>
            <w:vMerge/>
            <w:tcBorders>
              <w:top w:val="nil"/>
              <w:left w:val="nil"/>
              <w:bottom w:val="nil"/>
              <w:right w:val="nil"/>
            </w:tcBorders>
          </w:tcPr>
          <w:p w:rsidR="0074548F" w:rsidRDefault="0074548F">
            <w:pPr>
              <w:tabs>
                <w:tab w:val="left" w:pos="0"/>
              </w:tabs>
              <w:jc w:val="both"/>
              <w:rPr>
                <w:rFonts w:eastAsia="Calibri"/>
                <w:szCs w:val="24"/>
              </w:rPr>
            </w:pPr>
          </w:p>
        </w:tc>
      </w:tr>
    </w:tbl>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Cs w:val="24"/>
          <w:lang w:eastAsia="lt-LT"/>
        </w:rPr>
      </w:pPr>
      <w:r>
        <w:rPr>
          <w:szCs w:val="24"/>
          <w:lang w:eastAsia="lt-LT"/>
        </w:rPr>
        <w:t>N - derliaus netekimas, t;</w:t>
      </w:r>
    </w:p>
    <w:p w:rsidR="0074548F" w:rsidRDefault="008324B0">
      <w:pPr>
        <w:ind w:firstLine="567"/>
        <w:jc w:val="both"/>
        <w:rPr>
          <w:szCs w:val="24"/>
          <w:lang w:eastAsia="lt-LT"/>
        </w:rPr>
      </w:pPr>
      <w:r>
        <w:rPr>
          <w:szCs w:val="24"/>
          <w:lang w:eastAsia="lt-LT"/>
        </w:rPr>
        <w:t xml:space="preserve">D - einamųjų metų žemės ūkio </w:t>
      </w:r>
      <w:r>
        <w:rPr>
          <w:szCs w:val="24"/>
          <w:lang w:eastAsia="lt-LT"/>
        </w:rPr>
        <w:t>veiklos subjekto (jei tvarkoma dvejybinė) arba savivaldybės (jei tvarkoma supaprastintoji arba netvarkoma jokia apskaita) pasėlio vidutinis derlingumas, t iš vieno ha.</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D1-431/3D-409</w:t>
        </w:r>
      </w:hyperlink>
      <w:r>
        <w:rPr>
          <w:rFonts w:eastAsia="MS Mincho"/>
          <w:i/>
          <w:iCs/>
          <w:sz w:val="20"/>
        </w:rPr>
        <w:t>, 2015-05-22, paskelbta TAR 2015-05-22, i. k. 2015-07791</w:t>
      </w:r>
    </w:p>
    <w:p w:rsidR="0074548F" w:rsidRDefault="008324B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D1-589/3D-504</w:t>
        </w:r>
      </w:hyperlink>
      <w:r>
        <w:rPr>
          <w:rFonts w:eastAsia="MS Mincho"/>
          <w:i/>
          <w:iCs/>
          <w:sz w:val="20"/>
        </w:rPr>
        <w:t>, 2016-09-06, paskelbta TAR 2016-09-07</w:t>
      </w:r>
      <w:r>
        <w:rPr>
          <w:rFonts w:eastAsia="MS Mincho"/>
          <w:i/>
          <w:iCs/>
          <w:sz w:val="20"/>
        </w:rPr>
        <w:t>, i. k. 2016-23320</w:t>
      </w:r>
    </w:p>
    <w:p w:rsidR="0074548F" w:rsidRDefault="0074548F"/>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pPr>
      <w:r>
        <w:rPr>
          <w:szCs w:val="24"/>
        </w:rPr>
        <w:t xml:space="preserve">9. </w:t>
      </w:r>
      <w:r>
        <w:rPr>
          <w:rFonts w:eastAsia="Calibri"/>
          <w:szCs w:val="24"/>
        </w:rPr>
        <w:t>Derliaus netekimui apskaičiuoti naudojamas einamųjų metų žemės ūkio veiklos subjekto (jei tvarkoma dvejybinė apskaita) arba savivaldybės (jei tvarkoma supaprastintoji arba netvarkoma jokia apskaita) pasėlio vidutinis derlingumas,</w:t>
      </w:r>
      <w:r>
        <w:rPr>
          <w:rFonts w:eastAsia="Calibri"/>
          <w:b/>
          <w:szCs w:val="24"/>
        </w:rPr>
        <w:t xml:space="preserve"> </w:t>
      </w:r>
      <w:r>
        <w:rPr>
          <w:rFonts w:eastAsia="Calibri"/>
          <w:szCs w:val="24"/>
        </w:rPr>
        <w:t>kur</w:t>
      </w:r>
      <w:r>
        <w:rPr>
          <w:rFonts w:eastAsia="Calibri"/>
          <w:szCs w:val="24"/>
        </w:rPr>
        <w:t>is,</w:t>
      </w:r>
      <w:r>
        <w:rPr>
          <w:rFonts w:eastAsia="Calibri"/>
          <w:b/>
          <w:szCs w:val="24"/>
        </w:rPr>
        <w:t xml:space="preserve"> </w:t>
      </w:r>
      <w:r>
        <w:rPr>
          <w:rFonts w:eastAsia="Calibri"/>
          <w:szCs w:val="24"/>
        </w:rPr>
        <w:t>įvertinus pasėlio būklę (piktžolėtumą, užmirkimą, kenkėjų ir ligų išplitimą), gali būti mažinamas. Pasėlyje pasireiškus piktžolėtumui, užmirkimui, kenkėjų ar ligų išplitimui, vidutinio derlingumo mažinimo procentas apskaičiuojamas taikant šios metodiko</w:t>
      </w:r>
      <w:r>
        <w:rPr>
          <w:rFonts w:eastAsia="Calibri"/>
          <w:szCs w:val="24"/>
        </w:rPr>
        <w:t>s 7.2 papunktyje nurodytą formulę</w:t>
      </w:r>
      <w:r>
        <w:rPr>
          <w:rFonts w:eastAsia="Calibri"/>
          <w:color w:val="00B050"/>
          <w:szCs w:val="24"/>
        </w:rPr>
        <w:t>.</w:t>
      </w:r>
      <w:r>
        <w:rPr>
          <w:rFonts w:eastAsia="Calibri"/>
          <w:szCs w:val="24"/>
        </w:rPr>
        <w:t xml:space="preserve"> </w:t>
      </w:r>
      <w:r>
        <w:t xml:space="preserve">Žala </w:t>
      </w:r>
      <w:r>
        <w:rPr>
          <w:rFonts w:eastAsia="Calibri"/>
          <w:szCs w:val="24"/>
        </w:rPr>
        <w:t>visiškai neapskaičiuojama ir neatlyginama, jeigu pasėlius sunaikino medžiojamieji gyvūnai laiku nenuėmus derliaus (už javus (išskyrus grikius), ankštinius augalus, rapsus − po rugsėjo 15 d., grikius – po spalio 15 d.</w:t>
      </w:r>
      <w:r>
        <w:rPr>
          <w:rFonts w:eastAsia="Calibri"/>
          <w:szCs w:val="24"/>
        </w:rPr>
        <w:t>, kukurūzus − po lapkričio 1 d. (auginamus grūdus – po lapkričio 30 d.), bulves ir burokėlius − po spalio 1 d., kopūstus ir morkas – po lapkričio 1 d., pašarinius runkelius – po lapkričio 1 d., cukrinius runkelius – po gruodžio 1 d.), jeigu pasėliai sunyko</w:t>
      </w:r>
      <w:r>
        <w:rPr>
          <w:rFonts w:eastAsia="Calibri"/>
          <w:szCs w:val="24"/>
        </w:rPr>
        <w:t xml:space="preserve"> dėl gamtinių veiksnių</w:t>
      </w:r>
      <w:r>
        <w:rPr>
          <w:rFonts w:eastAsia="Calibri"/>
          <w:b/>
          <w:szCs w:val="24"/>
        </w:rPr>
        <w:t xml:space="preserve">, </w:t>
      </w:r>
      <w:r>
        <w:rPr>
          <w:rFonts w:eastAsia="Calibri"/>
          <w:szCs w:val="24"/>
        </w:rPr>
        <w:t>arba medžioklės plotų vienetų naudotojui yra uždrausta vykdyti medžioklę teritorijoje, kurioje buvo padaryta žala.</w:t>
      </w:r>
      <w:r>
        <w:t xml:space="preserve"> </w:t>
      </w:r>
    </w:p>
    <w:p w:rsidR="0074548F" w:rsidRDefault="008324B0">
      <w:pPr>
        <w:rPr>
          <w:rFonts w:eastAsia="MS Mincho"/>
          <w:i/>
          <w:iCs/>
          <w:sz w:val="20"/>
        </w:rPr>
      </w:pPr>
      <w:r>
        <w:rPr>
          <w:rFonts w:eastAsia="MS Mincho"/>
          <w:i/>
          <w:iCs/>
          <w:sz w:val="20"/>
        </w:rPr>
        <w:lastRenderedPageBreak/>
        <w:t>Punkto pakeitimai:</w:t>
      </w:r>
    </w:p>
    <w:p w:rsidR="0074548F" w:rsidRDefault="008324B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D1-431/3D-409</w:t>
        </w:r>
      </w:hyperlink>
      <w:r>
        <w:rPr>
          <w:rFonts w:eastAsia="MS Mincho"/>
          <w:i/>
          <w:iCs/>
          <w:sz w:val="20"/>
        </w:rPr>
        <w:t>, 2015-05-22, paskelbta TAR 2015-05-22, i. k. 2015-07791</w:t>
      </w:r>
    </w:p>
    <w:p w:rsidR="0074548F" w:rsidRDefault="008324B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D1-589/3D-504</w:t>
        </w:r>
      </w:hyperlink>
      <w:r>
        <w:rPr>
          <w:rFonts w:eastAsia="MS Mincho"/>
          <w:i/>
          <w:iCs/>
          <w:sz w:val="20"/>
        </w:rPr>
        <w:t>, 2016-09-06, paskelbta TAR 2016-09-07, i. k. 2016-23320</w:t>
      </w:r>
    </w:p>
    <w:p w:rsidR="0074548F" w:rsidRDefault="008324B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Cs w:val="24"/>
        </w:rPr>
      </w:pPr>
      <w:r>
        <w:rPr>
          <w:szCs w:val="24"/>
          <w:lang w:eastAsia="lt-LT"/>
        </w:rPr>
        <w:t>10. Žalos piniginė išraiška apskaičiuojama derliaus netekimą padauginus iš Žemės ūkio ir maisto produktų rinkos informacinėje sistemoje (ŽŪMPRIS) skelbiamos einamųjų metų spalio antrosios savaitės Grūdų ir aliejinių augalų sėklų supirkimo kainų (iš auginto</w:t>
      </w:r>
      <w:r>
        <w:rPr>
          <w:szCs w:val="24"/>
          <w:lang w:eastAsia="lt-LT"/>
        </w:rPr>
        <w:t>jų ir kitų vidaus rinkos ūkio subjektų) suvestinėje ataskaitoje  (pagal formą GS-1) nurodytos vidutinės kainos eurais už toną (kaina su nuoskaitomis po valymo ir džiovinimo ir su priemokomis). Tų kultūrų produktams, kurių supirkimo rinkos kainų nustatyti n</w:t>
      </w:r>
      <w:r>
        <w:rPr>
          <w:szCs w:val="24"/>
          <w:lang w:eastAsia="lt-LT"/>
        </w:rPr>
        <w:t xml:space="preserve">eįmanoma, žalos piniginė išraiška apskaičiuojama taikant Lietuvos Respublikos žemės ūkio ministro įsakymais kasmet tvirtinamas  </w:t>
      </w:r>
      <w:r>
        <w:rPr>
          <w:szCs w:val="24"/>
        </w:rPr>
        <w:t>Biologinio turto ir žemės ūkio produkcijos normatyvines kainas (toliau ‒ normatyvinės kainos).</w:t>
      </w:r>
    </w:p>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Apskaičiuojant žalos piniginę išr</w:t>
      </w:r>
      <w:r>
        <w:rPr>
          <w:szCs w:val="24"/>
        </w:rPr>
        <w:t xml:space="preserve">aišką dėl </w:t>
      </w:r>
      <w:r>
        <w:rPr>
          <w:szCs w:val="24"/>
          <w:lang w:eastAsia="lt-LT"/>
        </w:rPr>
        <w:t xml:space="preserve">daugiamečių žolių, pievų ir ganyklų pakenkimo, prie negautos produkcijos vertės pridedamos daugiamečių žolių, pievų ir ganyklų atnaujinimo vidutinės išlaidos, nurodytos </w:t>
      </w:r>
      <w:r>
        <w:rPr>
          <w:szCs w:val="24"/>
        </w:rPr>
        <w:t xml:space="preserve"> normatyvinėse kainose.</w:t>
      </w:r>
    </w:p>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szCs w:val="24"/>
          <w:lang w:eastAsia="lt-LT"/>
        </w:rPr>
      </w:pPr>
      <w:r>
        <w:rPr>
          <w:rFonts w:eastAsia="Calibri"/>
          <w:szCs w:val="24"/>
          <w:lang w:eastAsia="lt-LT"/>
        </w:rPr>
        <w:t>Einamaisiais metais patirta žala apskaičiuojama ne vė</w:t>
      </w:r>
      <w:r>
        <w:rPr>
          <w:rFonts w:eastAsia="Calibri"/>
          <w:szCs w:val="24"/>
          <w:lang w:eastAsia="lt-LT"/>
        </w:rPr>
        <w:t xml:space="preserve">liau kaip iki einamųjų metų gruodžio 31 d., išskyrus atvejus, kai derliaus netekimui apskaičiuoti naudojamas  savivaldybės pasėlio vidutinis  derlingumas </w:t>
      </w:r>
      <w:r>
        <w:rPr>
          <w:rFonts w:eastAsia="Calibri"/>
          <w:szCs w:val="24"/>
        </w:rPr>
        <w:t>(jei tvarkoma supaprastintoji arba netvarkoma jokia apskaita). Kai derliaus netekimui apskaičiuoti nau</w:t>
      </w:r>
      <w:r>
        <w:rPr>
          <w:rFonts w:eastAsia="Calibri"/>
          <w:szCs w:val="24"/>
        </w:rPr>
        <w:t>dojamas savivaldybės pasėlio vidutinis derlingumas, einamaisiais metais padaryta  žala  apskaičiuojama ne vėliau kaip iki kitų metų balandžio 30 d.</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D1-589/3D-504</w:t>
        </w:r>
      </w:hyperlink>
      <w:r>
        <w:rPr>
          <w:rFonts w:eastAsia="MS Mincho"/>
          <w:i/>
          <w:iCs/>
          <w:sz w:val="20"/>
        </w:rPr>
        <w:t>, 2016-09-06, paskelbta TAR 2016-09-07, i. k. 2016-23320</w:t>
      </w:r>
    </w:p>
    <w:p w:rsidR="0074548F" w:rsidRDefault="008324B0">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szCs w:val="24"/>
          <w:lang w:eastAsia="lt-LT"/>
        </w:rPr>
      </w:pPr>
      <w:r>
        <w:rPr>
          <w:szCs w:val="24"/>
        </w:rPr>
        <w:t>11.</w:t>
      </w:r>
      <w:r>
        <w:rPr>
          <w:szCs w:val="24"/>
          <w:lang w:eastAsia="lt-LT"/>
        </w:rPr>
        <w:t xml:space="preserve"> Jeigu vienmečiai iš rudens pasėti pasėliai pakenkiami ir vertinant žalą</w:t>
      </w:r>
      <w:r>
        <w:rPr>
          <w:b/>
          <w:szCs w:val="24"/>
          <w:lang w:eastAsia="lt-LT"/>
        </w:rPr>
        <w:t xml:space="preserve"> </w:t>
      </w:r>
      <w:r>
        <w:rPr>
          <w:szCs w:val="24"/>
          <w:lang w:eastAsia="lt-LT"/>
        </w:rPr>
        <w:t>(vertinimas atliekamas iki pavasario darbų pradžios) nustatoma, kad visiškai sunaikintų pasėlių vietoje tame žemės plote nauji pasėliai gali būti atsėti ir sulaukta jų derliaus dar</w:t>
      </w:r>
      <w:r>
        <w:rPr>
          <w:szCs w:val="24"/>
          <w:lang w:eastAsia="lt-LT"/>
        </w:rPr>
        <w:t xml:space="preserve"> tais pačiais ūkiniais metais, apskaičiuojamos tik tiesioginės išlaidos, padarytos sunaikintiems pasėliams atsėti,</w:t>
      </w:r>
      <w:r>
        <w:rPr>
          <w:b/>
          <w:szCs w:val="24"/>
          <w:lang w:eastAsia="lt-LT"/>
        </w:rPr>
        <w:t xml:space="preserve"> </w:t>
      </w:r>
      <w:r>
        <w:rPr>
          <w:szCs w:val="24"/>
          <w:lang w:eastAsia="lt-LT"/>
        </w:rPr>
        <w:t>taikant normatyvines pasėlių atsėjimo kainas. Visiškai sunaikintais pasėliais laikomi tokie, kai pasėlio plote lauktinas derlius yra sumažėję</w:t>
      </w:r>
      <w:r>
        <w:rPr>
          <w:szCs w:val="24"/>
          <w:lang w:eastAsia="lt-LT"/>
        </w:rPr>
        <w:t>s daugiau kaip 70 procentų.</w:t>
      </w:r>
      <w:r>
        <w:t xml:space="preserve"> </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12. Žemės ūkio pasėlių savininkams,</w:t>
      </w:r>
      <w:r>
        <w:rPr>
          <w:szCs w:val="24"/>
          <w:lang w:eastAsia="lt-LT"/>
        </w:rPr>
        <w:t xml:space="preserve"> auginantiems juos miško apsuptyje iki 3 ha sklype arba ne daugiau kaip 200 m nuo pasėlių savininko sodybos nutolusiame iki 0,5 ha sklype, medžiojamųjų gyvūnų padaryta žala atlyginama tik tuo atveju, jeigu pasėliai buvo saugomi elektriniu piemeniu arba apt</w:t>
      </w:r>
      <w:r>
        <w:rPr>
          <w:szCs w:val="24"/>
          <w:lang w:eastAsia="lt-LT"/>
        </w:rPr>
        <w:t>verti tvora, neleidžiančia kanopiniams žvėrims patekti į pasėlį.</w:t>
      </w:r>
    </w:p>
    <w:p w:rsidR="0074548F" w:rsidRDefault="008324B0">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szCs w:val="24"/>
          <w:lang w:eastAsia="lt-LT"/>
        </w:rPr>
      </w:pPr>
      <w:r>
        <w:rPr>
          <w:color w:val="000000"/>
        </w:rPr>
        <w:t>13. Kmynų</w:t>
      </w:r>
      <w:r>
        <w:rPr>
          <w:b/>
          <w:color w:val="000000"/>
        </w:rPr>
        <w:t xml:space="preserve">, </w:t>
      </w:r>
      <w:r>
        <w:rPr>
          <w:color w:val="000000"/>
        </w:rPr>
        <w:t xml:space="preserve">bulvinių saulėgrąžų (topinambų) pasėliams padaryta žala atlyginama tik tuo atveju, jeigu kmynų, bulvinių saulėgrąžų (topinambų) pasėliai buvo aptverti tvora, neleidžiančia </w:t>
      </w:r>
      <w:r>
        <w:rPr>
          <w:color w:val="000000"/>
        </w:rPr>
        <w:t>kanopiniams žvėrims patekti į minėtus pasėlius.</w:t>
      </w:r>
      <w:r>
        <w:t xml:space="preserve"> </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b/>
          <w:szCs w:val="24"/>
          <w:lang w:eastAsia="lt-LT"/>
        </w:rPr>
        <w:t>III SKYRIUS</w:t>
      </w:r>
    </w:p>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ŪKI</w:t>
      </w:r>
      <w:r>
        <w:rPr>
          <w:b/>
          <w:szCs w:val="24"/>
          <w:lang w:eastAsia="lt-LT"/>
        </w:rPr>
        <w:t>NIAMS GYVŪNAMS PADARYTOS ŽALOS APSKAIČIAVIMAS</w:t>
      </w:r>
    </w:p>
    <w:p w:rsidR="0074548F" w:rsidRDefault="0074548F">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rsidR="0074548F" w:rsidRDefault="008324B0">
      <w:pPr>
        <w:overflowPunct w:val="0"/>
        <w:ind w:firstLine="567"/>
        <w:jc w:val="both"/>
        <w:textAlignment w:val="baseline"/>
      </w:pPr>
      <w:r>
        <w:t>14. Vilkų p</w:t>
      </w:r>
      <w:r>
        <w:rPr>
          <w:szCs w:val="24"/>
          <w:lang w:eastAsia="lt-LT"/>
        </w:rPr>
        <w:t xml:space="preserve">adaryta žala sunaikinus ūkinius gyvūnus, kurie turi būti registruoti </w:t>
      </w:r>
      <w:r>
        <w:rPr>
          <w:color w:val="000000"/>
        </w:rPr>
        <w:t>Ūkinių gyvūnų laikymo vietų registravimo ir jose laikomų ūkinių gyvūnų ženklinimo ir apskaitos tvarkos aprašo, patvirtinto Lietuv</w:t>
      </w:r>
      <w:r>
        <w:rPr>
          <w:color w:val="000000"/>
        </w:rPr>
        <w:t xml:space="preserve">os Respublikos žemės ūkio ministro 2003 m. birželio 16 d. įsakymu Nr. 3D-234 </w:t>
      </w:r>
      <w:r>
        <w:rPr>
          <w:rFonts w:eastAsia="Calibri"/>
          <w:szCs w:val="24"/>
        </w:rPr>
        <w:t>„</w:t>
      </w:r>
      <w:r>
        <w:rPr>
          <w:rFonts w:eastAsia="Calibri"/>
          <w:bCs/>
          <w:szCs w:val="24"/>
        </w:rPr>
        <w:t>Dėl Ūkinių gyvūnų laikymo vietų registravimo ir jose laikomų ūkinių gyvūnų ženklinimo ir apskaitos tvarkos aprašo patvirtinimo</w:t>
      </w:r>
      <w:r>
        <w:rPr>
          <w:rFonts w:eastAsia="Calibri"/>
          <w:szCs w:val="24"/>
        </w:rPr>
        <w:t>“</w:t>
      </w:r>
      <w:r>
        <w:rPr>
          <w:rFonts w:ascii="Calibri" w:eastAsia="Calibri" w:hAnsi="Calibri" w:cs="Calibri"/>
          <w:sz w:val="22"/>
          <w:szCs w:val="22"/>
        </w:rPr>
        <w:t xml:space="preserve"> </w:t>
      </w:r>
      <w:r>
        <w:rPr>
          <w:color w:val="000000"/>
        </w:rPr>
        <w:t>(toliau – Ženklinimo aprašas), nustatyta tvarka,</w:t>
      </w:r>
      <w:r>
        <w:rPr>
          <w:szCs w:val="24"/>
          <w:lang w:eastAsia="lt-LT"/>
        </w:rPr>
        <w:t xml:space="preserve"> </w:t>
      </w:r>
      <w:r>
        <w:rPr>
          <w:szCs w:val="24"/>
          <w:lang w:eastAsia="lt-LT"/>
        </w:rPr>
        <w:lastRenderedPageBreak/>
        <w:t>a</w:t>
      </w:r>
      <w:r>
        <w:rPr>
          <w:szCs w:val="24"/>
          <w:lang w:eastAsia="lt-LT"/>
        </w:rPr>
        <w:t>pskaičiuojama pagal ūkinio gyvūno (gyvojo svorio) praėjusio mėnesio vidutinę rinkos kainą (vidutine rinkos kaina pripažįstama ūkinio gyvūno (gyvojo svorio) vidutinė supirkimo kaina (Eur už 100 kg), skelbiama interneto svetainėje http://www.vic. Lt / Statis</w:t>
      </w:r>
      <w:r>
        <w:rPr>
          <w:szCs w:val="24"/>
          <w:lang w:eastAsia="lt-LT"/>
        </w:rPr>
        <w:t>tinė informacija / Žemės ūkio ir maisto produktų rinkos informacinė sistema / Mėsos sektorius / Vidaus rinka), atsižvelgiant į ūkinių gyvūnų rūšį, amžiaus grupę, jų skaičių ir svorį, o jei ūkyje tvarkoma dvejybinė apskaita – pagal ūkyje tvarkomos buhalteri</w:t>
      </w:r>
      <w:r>
        <w:rPr>
          <w:szCs w:val="24"/>
          <w:lang w:eastAsia="lt-LT"/>
        </w:rPr>
        <w:t>nės apskaitos paskutinių šešių mėnesių vidutinius pirkimo ir pardavimo duomenis.</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szCs w:val="24"/>
          <w:lang w:eastAsia="lt-LT"/>
        </w:rPr>
      </w:pPr>
      <w:r>
        <w:rPr>
          <w:szCs w:val="24"/>
          <w:lang w:eastAsia="lt-LT"/>
        </w:rPr>
        <w:t>Vilkų padaryta žala sunaikinus ūkinius gyvūnus apskaičiuojama pagal formulę:</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center"/>
        <w:textAlignment w:val="baseline"/>
        <w:rPr>
          <w:color w:val="000000"/>
          <w:szCs w:val="24"/>
          <w:lang w:eastAsia="lt-LT"/>
        </w:rPr>
      </w:pPr>
      <w:r>
        <w:rPr>
          <w:color w:val="000000"/>
          <w:szCs w:val="24"/>
          <w:lang w:eastAsia="lt-LT"/>
        </w:rPr>
        <w:t>N = SUM (j) [(gj × sj × kj)], Eur,</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čia:</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N – nuostoliai, patirti sunaikinus ūkinius gyvūnus, Eur;</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SUM – suma;</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j – ūkinio gyvūno rūšis (aibė);</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gj – ūkinių gyvūnų skaičius pagal j rūšį, vnt.;</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sj – ūkinių gyvūnų pagal j rūšį ir amžiaus grupę svoris (gyvasis arba faktinis svoris po sunaikinimo), kg;</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 xml:space="preserve">Faktinis svoris po sunaikinimo, kai ūkiniai gyvūnai </w:t>
      </w:r>
      <w:r>
        <w:rPr>
          <w:color w:val="000000"/>
          <w:szCs w:val="24"/>
          <w:lang w:eastAsia="lt-LT"/>
        </w:rPr>
        <w:t>sužalojami ir (ar) nugaišta, apskaičiuojamas atsižvelgiant į prieš sunaikinimą buvusį ūkinio gyvūno gyvąjį svorį; jei buvusį gyvąjį svorį nustatyti yra neįmanoma, faktinis svoris nustatomas pagal kito tos pačios veislės, lyties ir amžiaus gyvūno svorį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color w:val="000000"/>
          <w:szCs w:val="24"/>
          <w:lang w:eastAsia="lt-LT"/>
        </w:rPr>
      </w:pPr>
      <w:r>
        <w:rPr>
          <w:color w:val="000000"/>
          <w:szCs w:val="24"/>
          <w:lang w:eastAsia="lt-LT"/>
        </w:rPr>
        <w:t>kj</w:t>
      </w:r>
      <w:r>
        <w:rPr>
          <w:color w:val="000000"/>
          <w:szCs w:val="24"/>
          <w:lang w:eastAsia="lt-LT"/>
        </w:rPr>
        <w:t xml:space="preserve"> – ūkinio gyvūno pagal j rūšį ir amžiaus grupę (gyvojo svorio) praėjusio mėnesio vidutinė rinkos (supirkimo) kaina, Eur už 100 kg (be PVM) ar vertė pagal paskutinių šešių mėnesių vidutinius pirkimo ir pardavimo duomenis, jei ūkyje tvarkoma dvejybinė apskai</w:t>
      </w:r>
      <w:r>
        <w:rPr>
          <w:color w:val="000000"/>
          <w:szCs w:val="24"/>
          <w:lang w:eastAsia="lt-LT"/>
        </w:rPr>
        <w:t>ta.</w:t>
      </w:r>
      <w:r>
        <w:t xml:space="preserve"> </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overflowPunct w:val="0"/>
        <w:ind w:firstLine="567"/>
        <w:jc w:val="both"/>
        <w:textAlignment w:val="baseline"/>
      </w:pPr>
      <w:r>
        <w:rPr>
          <w:szCs w:val="24"/>
          <w:lang w:eastAsia="lt-LT"/>
        </w:rPr>
        <w:t xml:space="preserve">15. </w:t>
      </w:r>
      <w:r>
        <w:rPr>
          <w:rFonts w:eastAsia="Calibri"/>
          <w:szCs w:val="24"/>
        </w:rPr>
        <w:t>Jeigu ūkinio gyvūno (gyvojo svorio) praėjusio mėnesio v</w:t>
      </w:r>
      <w:r>
        <w:rPr>
          <w:rFonts w:eastAsia="Calibri"/>
          <w:szCs w:val="24"/>
        </w:rPr>
        <w:t xml:space="preserve">idutinė rinkos kaina (supirkimo) neskelbiama šios metodikos 14 punkte nurodytoje interneto svetainėje, vadovaujamasi normatyvinėmis kainomis. </w:t>
      </w:r>
    </w:p>
    <w:p w:rsidR="0074548F" w:rsidRDefault="008324B0">
      <w:pPr>
        <w:overflowPunct w:val="0"/>
        <w:ind w:firstLine="567"/>
        <w:jc w:val="both"/>
        <w:textAlignment w:val="baseline"/>
        <w:rPr>
          <w:rFonts w:eastAsia="Calibri"/>
          <w:szCs w:val="24"/>
        </w:rPr>
      </w:pPr>
      <w:r>
        <w:rPr>
          <w:rFonts w:eastAsia="Calibri"/>
          <w:szCs w:val="24"/>
        </w:rPr>
        <w:t>Vilkų</w:t>
      </w:r>
      <w:r>
        <w:rPr>
          <w:rFonts w:eastAsia="Calibri"/>
          <w:b/>
          <w:szCs w:val="24"/>
        </w:rPr>
        <w:t xml:space="preserve"> </w:t>
      </w:r>
      <w:r>
        <w:rPr>
          <w:rFonts w:eastAsia="Calibri"/>
          <w:szCs w:val="24"/>
        </w:rPr>
        <w:t>padaryta žala sunaikinus ūkinius gyvūnus pagal šiame punkte nurodytas sąlygas apskaičiuojama pagal formulę:</w:t>
      </w:r>
    </w:p>
    <w:p w:rsidR="0074548F" w:rsidRDefault="008324B0">
      <w:pPr>
        <w:overflowPunct w:val="0"/>
        <w:ind w:firstLine="567"/>
        <w:jc w:val="center"/>
        <w:textAlignment w:val="baseline"/>
        <w:rPr>
          <w:rFonts w:eastAsia="Calibri"/>
          <w:szCs w:val="24"/>
        </w:rPr>
      </w:pPr>
      <w:r>
        <w:rPr>
          <w:rFonts w:eastAsia="Calibri"/>
          <w:szCs w:val="24"/>
        </w:rPr>
        <w:t>N=SUM (j) [(gj x kj)], Eur,</w:t>
      </w:r>
    </w:p>
    <w:p w:rsidR="0074548F" w:rsidRDefault="008324B0">
      <w:pPr>
        <w:overflowPunct w:val="0"/>
        <w:ind w:firstLine="567"/>
        <w:jc w:val="both"/>
        <w:textAlignment w:val="baseline"/>
      </w:pPr>
      <w:r>
        <w:rPr>
          <w:rFonts w:eastAsia="Calibri"/>
          <w:szCs w:val="24"/>
        </w:rPr>
        <w:t>čia:</w:t>
      </w:r>
    </w:p>
    <w:p w:rsidR="0074548F" w:rsidRDefault="008324B0">
      <w:pPr>
        <w:overflowPunct w:val="0"/>
        <w:ind w:firstLine="567"/>
        <w:jc w:val="both"/>
        <w:textAlignment w:val="baseline"/>
        <w:rPr>
          <w:rFonts w:eastAsia="Calibri"/>
          <w:szCs w:val="24"/>
        </w:rPr>
      </w:pPr>
      <w:r>
        <w:rPr>
          <w:rFonts w:eastAsia="Calibri"/>
          <w:szCs w:val="24"/>
        </w:rPr>
        <w:t>N – nuostoliai, patirti sunaikinus ūkinius gyvūnus, Eur;</w:t>
      </w:r>
    </w:p>
    <w:p w:rsidR="0074548F" w:rsidRDefault="008324B0">
      <w:pPr>
        <w:overflowPunct w:val="0"/>
        <w:ind w:firstLine="567"/>
        <w:jc w:val="both"/>
        <w:textAlignment w:val="baseline"/>
        <w:rPr>
          <w:rFonts w:eastAsia="Calibri"/>
          <w:szCs w:val="24"/>
        </w:rPr>
      </w:pPr>
      <w:r>
        <w:rPr>
          <w:rFonts w:eastAsia="Calibri"/>
          <w:szCs w:val="24"/>
        </w:rPr>
        <w:t>SUM – suma;</w:t>
      </w:r>
    </w:p>
    <w:p w:rsidR="0074548F" w:rsidRDefault="008324B0">
      <w:pPr>
        <w:overflowPunct w:val="0"/>
        <w:ind w:firstLine="567"/>
        <w:jc w:val="both"/>
        <w:textAlignment w:val="baseline"/>
        <w:rPr>
          <w:rFonts w:eastAsia="Calibri"/>
          <w:szCs w:val="24"/>
        </w:rPr>
      </w:pPr>
      <w:r>
        <w:rPr>
          <w:rFonts w:eastAsia="Calibri"/>
          <w:szCs w:val="24"/>
        </w:rPr>
        <w:t xml:space="preserve">j – ūkinio gyvūno rūšis (aibė); </w:t>
      </w:r>
    </w:p>
    <w:p w:rsidR="0074548F" w:rsidRDefault="008324B0">
      <w:pPr>
        <w:overflowPunct w:val="0"/>
        <w:ind w:firstLine="567"/>
        <w:jc w:val="both"/>
        <w:textAlignment w:val="baseline"/>
        <w:rPr>
          <w:rFonts w:eastAsia="Calibri"/>
          <w:szCs w:val="24"/>
        </w:rPr>
      </w:pPr>
      <w:r>
        <w:rPr>
          <w:rFonts w:eastAsia="Calibri"/>
          <w:szCs w:val="24"/>
        </w:rPr>
        <w:t>gj – ūkinių gyvūnų skaičius pagal j rūšį, vnt.;</w:t>
      </w:r>
    </w:p>
    <w:p w:rsidR="0074548F" w:rsidRDefault="008324B0">
      <w:pPr>
        <w:overflowPunct w:val="0"/>
        <w:ind w:firstLine="567"/>
        <w:jc w:val="both"/>
        <w:textAlignment w:val="baseline"/>
        <w:rPr>
          <w:rFonts w:eastAsia="Calibri"/>
          <w:szCs w:val="24"/>
        </w:rPr>
      </w:pPr>
      <w:r>
        <w:rPr>
          <w:rFonts w:eastAsia="Calibri"/>
          <w:szCs w:val="24"/>
        </w:rPr>
        <w:t xml:space="preserve">kj – ūkinio gyvūno pagal j rūšį ir amžiaus grupę normatyvinė kaina, o </w:t>
      </w:r>
      <w:r>
        <w:rPr>
          <w:rFonts w:eastAsia="Calibri"/>
          <w:szCs w:val="24"/>
        </w:rPr>
        <w:t>jei ūkinio gyvūno pagal amžiaus grupę normatyvinė kaina nurodyta per intervalą, taikoma minimali normatyvinė kaina (Eur už vnt.) (be PVM), padauginta iš koeficiento 1,5, tačiau neviršijant tos pačios amžiaus grupės ūkiniam gyvūnui taikomos didžiausios norm</w:t>
      </w:r>
      <w:r>
        <w:rPr>
          <w:rFonts w:eastAsia="Calibri"/>
          <w:szCs w:val="24"/>
        </w:rPr>
        <w:t>atyvinės kainos.</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567"/>
        <w:jc w:val="both"/>
        <w:textAlignment w:val="baseline"/>
        <w:rPr>
          <w:szCs w:val="24"/>
          <w:lang w:eastAsia="lt-LT"/>
        </w:rPr>
      </w:pPr>
      <w:r>
        <w:rPr>
          <w:rFonts w:eastAsia="Calibri"/>
          <w:szCs w:val="24"/>
        </w:rPr>
        <w:t xml:space="preserve">Vilkų padaryta žala sunaikinus veislinius ūkinius gyvūnus apskaičiuojama ir atlyginama pagal veislinių ūkinių gyvūnų įsigijimo dokumentuose nurodytą kainą arba, </w:t>
      </w:r>
      <w:r>
        <w:rPr>
          <w:szCs w:val="24"/>
          <w:lang w:eastAsia="lt-LT"/>
        </w:rPr>
        <w:t>jei ūkyje tvarkoma dvejybinė apskaita, – pagal ūkyje tvarkomos buhalterinės ap</w:t>
      </w:r>
      <w:r>
        <w:rPr>
          <w:szCs w:val="24"/>
          <w:lang w:eastAsia="lt-LT"/>
        </w:rPr>
        <w:t xml:space="preserve">skaitos paskutinių šešių mėnesių vidutinius veislinių ūkinių gyvūnų pirkimo ir pardavimo duomenis. </w:t>
      </w:r>
    </w:p>
    <w:p w:rsidR="0074548F" w:rsidRDefault="008324B0">
      <w:pPr>
        <w:tabs>
          <w:tab w:val="left" w:pos="1134"/>
        </w:tabs>
        <w:overflowPunct w:val="0"/>
        <w:ind w:firstLine="567"/>
        <w:jc w:val="both"/>
        <w:textAlignment w:val="baseline"/>
        <w:rPr>
          <w:b/>
          <w:color w:val="000000"/>
          <w:szCs w:val="24"/>
          <w:lang w:eastAsia="lt-LT"/>
        </w:rPr>
      </w:pPr>
      <w:r>
        <w:rPr>
          <w:szCs w:val="24"/>
          <w:lang w:eastAsia="lt-LT"/>
        </w:rPr>
        <w:t>Vilkams sudraskius vaikingas pateles ar dėl vilkų padarytų sužeidimų ar sukelto streso patelei per dvi savaites po įvykio įvykus išsimetimui, pagal ūkyje tv</w:t>
      </w:r>
      <w:r>
        <w:rPr>
          <w:szCs w:val="24"/>
          <w:lang w:eastAsia="lt-LT"/>
        </w:rPr>
        <w:t>arkomos buhalterinės apskaitos paskutinių 6 mėnesių vidutinius pirkimo ir pardavimo duomenis už kiekvieną vaisių kompensuojama: už veršelį – 50 proc., už ėriuką ar ožkiuką – 100 proc. 6 mėnesių amžiaus prieauglio pardavimo kainos. Ūkinių gyvūnų vaikingumas</w:t>
      </w:r>
      <w:r>
        <w:rPr>
          <w:szCs w:val="24"/>
          <w:lang w:eastAsia="lt-LT"/>
        </w:rPr>
        <w:t xml:space="preserve"> nustatomas pagal Ūkinių gyvūnų registre esančią informaciją.</w:t>
      </w:r>
      <w:r>
        <w:t xml:space="preserve"> </w:t>
      </w:r>
    </w:p>
    <w:p w:rsidR="0074548F" w:rsidRDefault="008324B0">
      <w:pPr>
        <w:rPr>
          <w:rFonts w:eastAsia="MS Mincho"/>
          <w:i/>
          <w:iCs/>
          <w:sz w:val="20"/>
        </w:rPr>
      </w:pPr>
      <w:r>
        <w:rPr>
          <w:rFonts w:eastAsia="MS Mincho"/>
          <w:i/>
          <w:iCs/>
          <w:sz w:val="20"/>
        </w:rPr>
        <w:lastRenderedPageBreak/>
        <w:t>Punkto pakeitimai:</w:t>
      </w:r>
    </w:p>
    <w:p w:rsidR="0074548F" w:rsidRDefault="008324B0">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D1-603/3D-652</w:t>
        </w:r>
      </w:hyperlink>
      <w:r>
        <w:rPr>
          <w:rFonts w:eastAsia="MS Mincho"/>
          <w:i/>
          <w:iCs/>
          <w:sz w:val="20"/>
        </w:rPr>
        <w:t>, 2015-08-21, paskelbta TAR 2015-08-21, i. k. 2015-12505</w:t>
      </w:r>
    </w:p>
    <w:p w:rsidR="0074548F" w:rsidRDefault="008324B0">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1134"/>
        </w:tabs>
        <w:overflowPunct w:val="0"/>
        <w:ind w:firstLine="567"/>
        <w:jc w:val="both"/>
        <w:textAlignment w:val="baseline"/>
        <w:rPr>
          <w:szCs w:val="24"/>
        </w:rPr>
      </w:pPr>
      <w:r>
        <w:rPr>
          <w:szCs w:val="24"/>
        </w:rPr>
        <w:t xml:space="preserve">16. Vilkų padaryta žala sužalojus ūkinius gyvūnus, </w:t>
      </w:r>
      <w:r>
        <w:rPr>
          <w:szCs w:val="24"/>
          <w:lang w:eastAsia="lt-LT"/>
        </w:rPr>
        <w:t xml:space="preserve">kurie turi būti registruoti </w:t>
      </w:r>
      <w:r>
        <w:rPr>
          <w:color w:val="000000"/>
        </w:rPr>
        <w:t>Ženk</w:t>
      </w:r>
      <w:r>
        <w:rPr>
          <w:color w:val="000000"/>
        </w:rPr>
        <w:t>linimo apraše nustatyta tvarka,</w:t>
      </w:r>
      <w:r>
        <w:rPr>
          <w:szCs w:val="24"/>
        </w:rPr>
        <w:t xml:space="preserve"> apskaičiuojama ir atlyginama pateikus gydymo išlaidų pagrindimo dokumentus ir veterinarijos gydytojo dokumentą apie ūkinio gyvūno sužalojimą.</w:t>
      </w:r>
      <w:r>
        <w:t xml:space="preserve"> </w:t>
      </w:r>
    </w:p>
    <w:p w:rsidR="0074548F" w:rsidRDefault="008324B0">
      <w:pPr>
        <w:rPr>
          <w:rFonts w:eastAsia="MS Mincho"/>
          <w:i/>
          <w:iCs/>
          <w:sz w:val="20"/>
        </w:rPr>
      </w:pPr>
      <w:r>
        <w:rPr>
          <w:rFonts w:eastAsia="MS Mincho"/>
          <w:i/>
          <w:iCs/>
          <w:sz w:val="20"/>
        </w:rPr>
        <w:t>Punkto pakeitimai:</w:t>
      </w:r>
    </w:p>
    <w:p w:rsidR="0074548F" w:rsidRDefault="008324B0">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8324B0">
      <w:pPr>
        <w:tabs>
          <w:tab w:val="left" w:pos="567"/>
        </w:tabs>
        <w:jc w:val="center"/>
        <w:rPr>
          <w:szCs w:val="24"/>
        </w:rPr>
      </w:pPr>
      <w:r>
        <w:rPr>
          <w:b/>
          <w:szCs w:val="24"/>
        </w:rPr>
        <w:t>IV SKYRIUS</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MIŠKUI PADARYTOS ŽALOS APSKAIČIAVIMAS</w:t>
      </w:r>
    </w:p>
    <w:p w:rsidR="0074548F" w:rsidRDefault="00745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17</w:t>
      </w:r>
      <w:r>
        <w:rPr>
          <w:szCs w:val="24"/>
        </w:rPr>
        <w:t>.  Želdiniuose, žėliniuose, jaunuolynuose ir vyresnio amžiaus medynuose stipriai pažeistų ir žuvusių tikslinių  rūšių  medžių  daliai nustatyti  vertinamo miško sklypo įstrižainėje kas 25 metrai vienas nuo kito išskiriamos apvalios apskaitos aikštelės, kur</w:t>
      </w:r>
      <w:r>
        <w:rPr>
          <w:szCs w:val="24"/>
        </w:rPr>
        <w:t>ių spindulys – 4 metrai.</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Apskaitos aikštelėse  turi būti išskiriama: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723"/>
        <w:gridCol w:w="871"/>
        <w:gridCol w:w="869"/>
        <w:gridCol w:w="871"/>
        <w:gridCol w:w="869"/>
        <w:gridCol w:w="824"/>
        <w:gridCol w:w="47"/>
        <w:gridCol w:w="968"/>
        <w:gridCol w:w="47"/>
        <w:gridCol w:w="1011"/>
      </w:tblGrid>
      <w:tr w:rsidR="0074548F">
        <w:tc>
          <w:tcPr>
            <w:tcW w:w="1397" w:type="pct"/>
            <w:vMerge w:val="restart"/>
            <w:tcBorders>
              <w:top w:val="single" w:sz="4" w:space="0" w:color="auto"/>
              <w:left w:val="single" w:sz="4" w:space="0" w:color="auto"/>
              <w:bottom w:val="single" w:sz="4" w:space="0" w:color="auto"/>
              <w:right w:val="single" w:sz="4" w:space="0" w:color="auto"/>
            </w:tcBorders>
            <w:vAlign w:val="center"/>
          </w:tcPr>
          <w:p w:rsidR="0074548F" w:rsidRDefault="0074548F">
            <w:pPr>
              <w:widowControl w:val="0"/>
              <w:jc w:val="center"/>
              <w:rPr>
                <w:szCs w:val="24"/>
              </w:rPr>
            </w:pPr>
          </w:p>
        </w:tc>
        <w:tc>
          <w:tcPr>
            <w:tcW w:w="3603" w:type="pct"/>
            <w:gridSpan w:val="10"/>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Sklypo plotas, ha</w:t>
            </w:r>
          </w:p>
        </w:tc>
      </w:tr>
      <w:tr w:rsidR="0074548F">
        <w:tc>
          <w:tcPr>
            <w:tcW w:w="0" w:type="auto"/>
            <w:vMerge/>
            <w:tcBorders>
              <w:top w:val="single" w:sz="4" w:space="0" w:color="auto"/>
              <w:left w:val="single" w:sz="4" w:space="0" w:color="auto"/>
              <w:bottom w:val="single" w:sz="4" w:space="0" w:color="auto"/>
              <w:right w:val="single" w:sz="4" w:space="0" w:color="auto"/>
            </w:tcBorders>
            <w:vAlign w:val="center"/>
            <w:hideMark/>
          </w:tcPr>
          <w:p w:rsidR="0074548F" w:rsidRDefault="0074548F">
            <w:pPr>
              <w:rPr>
                <w:szCs w:val="24"/>
              </w:rPr>
            </w:pPr>
          </w:p>
        </w:tc>
        <w:tc>
          <w:tcPr>
            <w:tcW w:w="36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iki 0,10</w:t>
            </w:r>
          </w:p>
        </w:tc>
        <w:tc>
          <w:tcPr>
            <w:tcW w:w="44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0,11–0,50</w:t>
            </w:r>
          </w:p>
        </w:tc>
        <w:tc>
          <w:tcPr>
            <w:tcW w:w="441"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0,51–1,00</w:t>
            </w:r>
          </w:p>
        </w:tc>
        <w:tc>
          <w:tcPr>
            <w:tcW w:w="44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1,01–3,00</w:t>
            </w:r>
          </w:p>
        </w:tc>
        <w:tc>
          <w:tcPr>
            <w:tcW w:w="441"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3,01–6,00</w:t>
            </w:r>
          </w:p>
        </w:tc>
        <w:tc>
          <w:tcPr>
            <w:tcW w:w="442" w:type="pct"/>
            <w:gridSpan w:val="2"/>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6,01–9,00</w:t>
            </w:r>
          </w:p>
        </w:tc>
        <w:tc>
          <w:tcPr>
            <w:tcW w:w="515" w:type="pct"/>
            <w:gridSpan w:val="2"/>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9,01–12,00</w:t>
            </w:r>
          </w:p>
        </w:tc>
        <w:tc>
          <w:tcPr>
            <w:tcW w:w="513"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12,01 ir daugiau</w:t>
            </w:r>
          </w:p>
        </w:tc>
      </w:tr>
      <w:tr w:rsidR="0074548F">
        <w:tc>
          <w:tcPr>
            <w:tcW w:w="1397" w:type="pct"/>
            <w:tcBorders>
              <w:top w:val="single" w:sz="4" w:space="0" w:color="auto"/>
              <w:left w:val="single" w:sz="4" w:space="0" w:color="auto"/>
              <w:bottom w:val="single" w:sz="4" w:space="0" w:color="auto"/>
              <w:right w:val="single" w:sz="4" w:space="0" w:color="auto"/>
            </w:tcBorders>
          </w:tcPr>
          <w:p w:rsidR="0074548F" w:rsidRDefault="0074548F">
            <w:pPr>
              <w:widowControl w:val="0"/>
              <w:jc w:val="both"/>
              <w:rPr>
                <w:szCs w:val="24"/>
              </w:rPr>
            </w:pPr>
          </w:p>
        </w:tc>
        <w:tc>
          <w:tcPr>
            <w:tcW w:w="3603" w:type="pct"/>
            <w:gridSpan w:val="10"/>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Apskaitos barelių skaičius, vnt.</w:t>
            </w:r>
          </w:p>
        </w:tc>
      </w:tr>
      <w:tr w:rsidR="0074548F">
        <w:tc>
          <w:tcPr>
            <w:tcW w:w="139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both"/>
              <w:rPr>
                <w:szCs w:val="24"/>
              </w:rPr>
            </w:pPr>
            <w:r>
              <w:rPr>
                <w:szCs w:val="24"/>
              </w:rPr>
              <w:t xml:space="preserve">Želdiniai, žėliniai ir iki 20 metų amžiaus </w:t>
            </w:r>
            <w:r>
              <w:rPr>
                <w:szCs w:val="24"/>
              </w:rPr>
              <w:t>jaunuolynai, taip pat vyresni medynai, jeigu juose dėl medelių būklės (vidutinio aukščio) elniniai žvėrys tebeskabo ūglius ir laužo kamienus</w:t>
            </w:r>
          </w:p>
        </w:tc>
        <w:tc>
          <w:tcPr>
            <w:tcW w:w="36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w:t>
            </w:r>
          </w:p>
        </w:tc>
        <w:tc>
          <w:tcPr>
            <w:tcW w:w="44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2</w:t>
            </w:r>
          </w:p>
        </w:tc>
        <w:tc>
          <w:tcPr>
            <w:tcW w:w="441"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4</w:t>
            </w:r>
          </w:p>
        </w:tc>
        <w:tc>
          <w:tcPr>
            <w:tcW w:w="44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6</w:t>
            </w:r>
          </w:p>
        </w:tc>
        <w:tc>
          <w:tcPr>
            <w:tcW w:w="441"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8</w:t>
            </w:r>
          </w:p>
        </w:tc>
        <w:tc>
          <w:tcPr>
            <w:tcW w:w="418"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10</w:t>
            </w:r>
          </w:p>
        </w:tc>
        <w:tc>
          <w:tcPr>
            <w:tcW w:w="515" w:type="pct"/>
            <w:gridSpan w:val="2"/>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12</w:t>
            </w:r>
          </w:p>
        </w:tc>
        <w:tc>
          <w:tcPr>
            <w:tcW w:w="537" w:type="pct"/>
            <w:gridSpan w:val="2"/>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15</w:t>
            </w:r>
          </w:p>
        </w:tc>
      </w:tr>
      <w:tr w:rsidR="0074548F">
        <w:tc>
          <w:tcPr>
            <w:tcW w:w="139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vyresnio amžiaus medynai</w:t>
            </w:r>
          </w:p>
        </w:tc>
        <w:tc>
          <w:tcPr>
            <w:tcW w:w="36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4</w:t>
            </w:r>
          </w:p>
        </w:tc>
        <w:tc>
          <w:tcPr>
            <w:tcW w:w="44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6</w:t>
            </w:r>
          </w:p>
        </w:tc>
        <w:tc>
          <w:tcPr>
            <w:tcW w:w="441"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6</w:t>
            </w:r>
          </w:p>
        </w:tc>
        <w:tc>
          <w:tcPr>
            <w:tcW w:w="44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6</w:t>
            </w:r>
          </w:p>
        </w:tc>
        <w:tc>
          <w:tcPr>
            <w:tcW w:w="441"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10</w:t>
            </w:r>
          </w:p>
        </w:tc>
        <w:tc>
          <w:tcPr>
            <w:tcW w:w="418"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10</w:t>
            </w:r>
          </w:p>
        </w:tc>
        <w:tc>
          <w:tcPr>
            <w:tcW w:w="515" w:type="pct"/>
            <w:gridSpan w:val="2"/>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10</w:t>
            </w:r>
          </w:p>
        </w:tc>
        <w:tc>
          <w:tcPr>
            <w:tcW w:w="537" w:type="pct"/>
            <w:gridSpan w:val="2"/>
            <w:tcBorders>
              <w:top w:val="single" w:sz="4" w:space="0" w:color="auto"/>
              <w:left w:val="single" w:sz="4" w:space="0" w:color="auto"/>
              <w:bottom w:val="single" w:sz="4" w:space="0" w:color="auto"/>
              <w:right w:val="single" w:sz="4" w:space="0" w:color="auto"/>
            </w:tcBorders>
            <w:hideMark/>
          </w:tcPr>
          <w:p w:rsidR="0074548F" w:rsidRDefault="008324B0">
            <w:pPr>
              <w:widowControl w:val="0"/>
              <w:jc w:val="center"/>
              <w:rPr>
                <w:szCs w:val="24"/>
              </w:rPr>
            </w:pPr>
            <w:r>
              <w:rPr>
                <w:szCs w:val="24"/>
              </w:rPr>
              <w:t>10</w:t>
            </w:r>
          </w:p>
        </w:tc>
      </w:tr>
    </w:tbl>
    <w:p w:rsidR="0074548F" w:rsidRDefault="0074548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18. Apskaitos aikštelėse apskaitomi tik </w:t>
      </w:r>
      <w:r>
        <w:rPr>
          <w:szCs w:val="24"/>
        </w:rPr>
        <w:t>tikslinių rūšių medžiai, suskirstant juos pagal pažeidimo laipsnius pagal 2 priede pateiktus kriterijus, išskyrus sunykusius dėl netinkamo pasodinimo, kenkėjų, ligų ir meteorologinių veiksnių, kurie į apskaitą netraukiami. Vertinant žalą vyresnio amžiaus m</w:t>
      </w:r>
      <w:r>
        <w:rPr>
          <w:szCs w:val="24"/>
        </w:rPr>
        <w:t>edynuose, apskaitos aikštelėse apskaitomi tik perspektyvūs (I–III Krafto klasės) tikslinių rūšių medžiai.</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19. Stipriai  pažeistų ir žuvusių tikslinės rūšies medžių  dalis sklype nustatoma pagal formulę:</w:t>
      </w:r>
    </w:p>
    <w:tbl>
      <w:tblPr>
        <w:tblW w:w="9630" w:type="dxa"/>
        <w:jc w:val="center"/>
        <w:tblLayout w:type="fixed"/>
        <w:tblLook w:val="04A0" w:firstRow="1" w:lastRow="0" w:firstColumn="1" w:lastColumn="0" w:noHBand="0" w:noVBand="1"/>
      </w:tblPr>
      <w:tblGrid>
        <w:gridCol w:w="3319"/>
        <w:gridCol w:w="3310"/>
        <w:gridCol w:w="3001"/>
      </w:tblGrid>
      <w:tr w:rsidR="0074548F">
        <w:trPr>
          <w:cantSplit/>
          <w:jc w:val="center"/>
        </w:trPr>
        <w:tc>
          <w:tcPr>
            <w:tcW w:w="3322" w:type="dxa"/>
            <w:vMerge w:val="restart"/>
            <w:vAlign w:val="center"/>
            <w:hideMark/>
          </w:tcPr>
          <w:p w:rsidR="0074548F" w:rsidRDefault="008324B0">
            <w:pPr>
              <w:widowControl w:val="0"/>
              <w:ind w:left="1804" w:right="103" w:firstLine="540"/>
              <w:jc w:val="both"/>
              <w:rPr>
                <w:szCs w:val="24"/>
              </w:rPr>
            </w:pPr>
            <w:r>
              <w:rPr>
                <w:szCs w:val="24"/>
              </w:rPr>
              <w:t xml:space="preserve">X = </w:t>
            </w:r>
          </w:p>
        </w:tc>
        <w:tc>
          <w:tcPr>
            <w:tcW w:w="3312" w:type="dxa"/>
            <w:tcBorders>
              <w:top w:val="nil"/>
              <w:left w:val="nil"/>
              <w:bottom w:val="single" w:sz="4" w:space="0" w:color="auto"/>
              <w:right w:val="nil"/>
            </w:tcBorders>
            <w:hideMark/>
          </w:tcPr>
          <w:p w:rsidR="0074548F" w:rsidRDefault="008324B0">
            <w:pPr>
              <w:widowControl w:val="0"/>
              <w:jc w:val="center"/>
              <w:rPr>
                <w:szCs w:val="24"/>
              </w:rPr>
            </w:pPr>
            <w:r>
              <w:rPr>
                <w:szCs w:val="24"/>
              </w:rPr>
              <w:t>m</w:t>
            </w:r>
            <w:r>
              <w:rPr>
                <w:szCs w:val="24"/>
                <w:vertAlign w:val="subscript"/>
              </w:rPr>
              <w:t>4</w:t>
            </w:r>
            <w:r>
              <w:rPr>
                <w:szCs w:val="24"/>
              </w:rPr>
              <w:t>x100</w:t>
            </w:r>
          </w:p>
        </w:tc>
        <w:tc>
          <w:tcPr>
            <w:tcW w:w="3003" w:type="dxa"/>
            <w:vMerge w:val="restart"/>
            <w:vAlign w:val="center"/>
            <w:hideMark/>
          </w:tcPr>
          <w:p w:rsidR="0074548F" w:rsidRDefault="008324B0">
            <w:pPr>
              <w:widowControl w:val="0"/>
              <w:ind w:left="-108"/>
              <w:jc w:val="both"/>
              <w:rPr>
                <w:szCs w:val="24"/>
              </w:rPr>
            </w:pPr>
            <w:r>
              <w:rPr>
                <w:szCs w:val="24"/>
              </w:rPr>
              <w:t>, %.</w:t>
            </w:r>
          </w:p>
        </w:tc>
      </w:tr>
      <w:tr w:rsidR="0074548F">
        <w:trPr>
          <w:cantSplit/>
          <w:jc w:val="center"/>
        </w:trPr>
        <w:tc>
          <w:tcPr>
            <w:tcW w:w="3322" w:type="dxa"/>
            <w:vMerge/>
            <w:vAlign w:val="center"/>
            <w:hideMark/>
          </w:tcPr>
          <w:p w:rsidR="0074548F" w:rsidRDefault="0074548F">
            <w:pPr>
              <w:rPr>
                <w:szCs w:val="24"/>
              </w:rPr>
            </w:pPr>
          </w:p>
        </w:tc>
        <w:tc>
          <w:tcPr>
            <w:tcW w:w="3312" w:type="dxa"/>
            <w:hideMark/>
          </w:tcPr>
          <w:p w:rsidR="0074548F" w:rsidRDefault="008324B0">
            <w:pPr>
              <w:widowControl w:val="0"/>
              <w:jc w:val="center"/>
              <w:rPr>
                <w:szCs w:val="24"/>
                <w:vertAlign w:val="subscript"/>
              </w:rPr>
            </w:pPr>
            <w:r>
              <w:rPr>
                <w:szCs w:val="24"/>
              </w:rPr>
              <w:t>m</w:t>
            </w:r>
            <w:r>
              <w:rPr>
                <w:szCs w:val="24"/>
                <w:vertAlign w:val="subscript"/>
              </w:rPr>
              <w:t>1</w:t>
            </w:r>
            <w:r>
              <w:rPr>
                <w:szCs w:val="24"/>
              </w:rPr>
              <w:t>+m</w:t>
            </w:r>
            <w:r>
              <w:rPr>
                <w:szCs w:val="24"/>
                <w:vertAlign w:val="subscript"/>
              </w:rPr>
              <w:t>2</w:t>
            </w:r>
            <w:r>
              <w:rPr>
                <w:szCs w:val="24"/>
              </w:rPr>
              <w:t>+m</w:t>
            </w:r>
            <w:r>
              <w:rPr>
                <w:szCs w:val="24"/>
                <w:vertAlign w:val="subscript"/>
              </w:rPr>
              <w:t>3</w:t>
            </w:r>
            <w:r>
              <w:rPr>
                <w:szCs w:val="24"/>
              </w:rPr>
              <w:t>+m</w:t>
            </w:r>
            <w:r>
              <w:rPr>
                <w:szCs w:val="24"/>
                <w:vertAlign w:val="subscript"/>
              </w:rPr>
              <w:t>4</w:t>
            </w:r>
          </w:p>
        </w:tc>
        <w:tc>
          <w:tcPr>
            <w:tcW w:w="3003" w:type="dxa"/>
            <w:vMerge/>
            <w:vAlign w:val="center"/>
            <w:hideMark/>
          </w:tcPr>
          <w:p w:rsidR="0074548F" w:rsidRDefault="0074548F">
            <w:pPr>
              <w:rPr>
                <w:szCs w:val="24"/>
              </w:rPr>
            </w:pPr>
          </w:p>
        </w:tc>
      </w:tr>
    </w:tbl>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X – stipriai </w:t>
      </w:r>
      <w:r>
        <w:rPr>
          <w:szCs w:val="24"/>
        </w:rPr>
        <w:t>pažeistų ir žuvusių tikslinių rūšių medžių dalis, %,</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m</w:t>
      </w:r>
      <w:r>
        <w:rPr>
          <w:szCs w:val="24"/>
          <w:vertAlign w:val="subscript"/>
        </w:rPr>
        <w:t>1</w:t>
      </w:r>
      <w:r>
        <w:rPr>
          <w:szCs w:val="24"/>
        </w:rPr>
        <w:t xml:space="preserve"> – sveikų ir nedaug pažeistų medžių skaičius apskaitos aikštelėse, vnt.,</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m</w:t>
      </w:r>
      <w:r>
        <w:rPr>
          <w:szCs w:val="24"/>
          <w:vertAlign w:val="subscript"/>
        </w:rPr>
        <w:t>2</w:t>
      </w:r>
      <w:r>
        <w:rPr>
          <w:szCs w:val="24"/>
        </w:rPr>
        <w:t xml:space="preserve"> – silpnai pažeistų medžių skaičius apskaitos aikštelėse, vnt.,</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m</w:t>
      </w:r>
      <w:r>
        <w:rPr>
          <w:szCs w:val="24"/>
          <w:vertAlign w:val="subscript"/>
        </w:rPr>
        <w:t>3</w:t>
      </w:r>
      <w:r>
        <w:rPr>
          <w:szCs w:val="24"/>
        </w:rPr>
        <w:t xml:space="preserve"> – vidutiniškai pažeistų medžių  skaičius apskaitos aikštelėse, vnt.,</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m</w:t>
      </w:r>
      <w:r>
        <w:rPr>
          <w:szCs w:val="24"/>
          <w:vertAlign w:val="subscript"/>
        </w:rPr>
        <w:t>4</w:t>
      </w:r>
      <w:r>
        <w:rPr>
          <w:szCs w:val="24"/>
        </w:rPr>
        <w:t xml:space="preserve"> – stipriai pažeistų ir žuvusių  medžių  skaičius apskaitos aikštelėse, vnt.</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20. Pirmos amžiaus klasės jaunuolynų pažeidimo atveju padarytos žalos piniginė išraiška apskaičiuojama 1 ha</w:t>
      </w:r>
      <w:r>
        <w:rPr>
          <w:szCs w:val="24"/>
        </w:rPr>
        <w:t xml:space="preserve"> pažeisto miško atkūrimo ir išauginimo išlaidas padauginus iš stipriai pažeistų ir žuvusių tikslinių medžių rūšių medelių dalies ir sklypo ploto pagal formulę:</w:t>
      </w:r>
    </w:p>
    <w:tbl>
      <w:tblPr>
        <w:tblW w:w="9630" w:type="dxa"/>
        <w:jc w:val="center"/>
        <w:tblLayout w:type="fixed"/>
        <w:tblLook w:val="04A0" w:firstRow="1" w:lastRow="0" w:firstColumn="1" w:lastColumn="0" w:noHBand="0" w:noVBand="1"/>
      </w:tblPr>
      <w:tblGrid>
        <w:gridCol w:w="3724"/>
        <w:gridCol w:w="2870"/>
        <w:gridCol w:w="3036"/>
      </w:tblGrid>
      <w:tr w:rsidR="0074548F">
        <w:trPr>
          <w:cantSplit/>
          <w:jc w:val="center"/>
        </w:trPr>
        <w:tc>
          <w:tcPr>
            <w:tcW w:w="3727" w:type="dxa"/>
            <w:vMerge w:val="restart"/>
            <w:vAlign w:val="center"/>
            <w:hideMark/>
          </w:tcPr>
          <w:p w:rsidR="0074548F" w:rsidRDefault="008324B0">
            <w:pPr>
              <w:widowControl w:val="0"/>
              <w:jc w:val="right"/>
              <w:rPr>
                <w:szCs w:val="24"/>
              </w:rPr>
            </w:pPr>
            <w:r>
              <w:rPr>
                <w:szCs w:val="24"/>
              </w:rPr>
              <w:t>N</w:t>
            </w:r>
            <w:r>
              <w:rPr>
                <w:szCs w:val="24"/>
                <w:vertAlign w:val="subscript"/>
              </w:rPr>
              <w:t>1</w:t>
            </w:r>
            <w:r>
              <w:rPr>
                <w:szCs w:val="24"/>
              </w:rPr>
              <w:t xml:space="preserve"> =</w:t>
            </w:r>
          </w:p>
        </w:tc>
        <w:tc>
          <w:tcPr>
            <w:tcW w:w="2872" w:type="dxa"/>
            <w:tcBorders>
              <w:top w:val="nil"/>
              <w:left w:val="nil"/>
              <w:bottom w:val="single" w:sz="4" w:space="0" w:color="auto"/>
              <w:right w:val="nil"/>
            </w:tcBorders>
            <w:hideMark/>
          </w:tcPr>
          <w:p w:rsidR="0074548F" w:rsidRDefault="008324B0">
            <w:pPr>
              <w:widowControl w:val="0"/>
              <w:jc w:val="center"/>
              <w:rPr>
                <w:szCs w:val="24"/>
              </w:rPr>
            </w:pPr>
            <w:r>
              <w:rPr>
                <w:szCs w:val="24"/>
              </w:rPr>
              <w:t>I</w:t>
            </w:r>
            <w:r>
              <w:rPr>
                <w:szCs w:val="24"/>
                <w:vertAlign w:val="subscript"/>
              </w:rPr>
              <w:t>s</w:t>
            </w:r>
            <w:r>
              <w:rPr>
                <w:szCs w:val="24"/>
              </w:rPr>
              <w:t>xXxP</w:t>
            </w:r>
          </w:p>
        </w:tc>
        <w:tc>
          <w:tcPr>
            <w:tcW w:w="3038" w:type="dxa"/>
            <w:vMerge w:val="restart"/>
            <w:vAlign w:val="center"/>
            <w:hideMark/>
          </w:tcPr>
          <w:p w:rsidR="0074548F" w:rsidRDefault="008324B0">
            <w:pPr>
              <w:widowControl w:val="0"/>
              <w:ind w:left="-108"/>
              <w:jc w:val="both"/>
              <w:rPr>
                <w:szCs w:val="24"/>
              </w:rPr>
            </w:pPr>
            <w:r>
              <w:rPr>
                <w:szCs w:val="24"/>
              </w:rPr>
              <w:t>,  Eur.</w:t>
            </w:r>
          </w:p>
        </w:tc>
      </w:tr>
      <w:tr w:rsidR="0074548F">
        <w:trPr>
          <w:cantSplit/>
          <w:jc w:val="center"/>
        </w:trPr>
        <w:tc>
          <w:tcPr>
            <w:tcW w:w="3727" w:type="dxa"/>
            <w:vMerge/>
            <w:vAlign w:val="center"/>
            <w:hideMark/>
          </w:tcPr>
          <w:p w:rsidR="0074548F" w:rsidRDefault="0074548F">
            <w:pPr>
              <w:rPr>
                <w:szCs w:val="24"/>
              </w:rPr>
            </w:pPr>
          </w:p>
        </w:tc>
        <w:tc>
          <w:tcPr>
            <w:tcW w:w="2872" w:type="dxa"/>
            <w:hideMark/>
          </w:tcPr>
          <w:p w:rsidR="0074548F" w:rsidRDefault="008324B0">
            <w:pPr>
              <w:widowControl w:val="0"/>
              <w:jc w:val="center"/>
              <w:rPr>
                <w:szCs w:val="24"/>
              </w:rPr>
            </w:pPr>
            <w:r>
              <w:rPr>
                <w:szCs w:val="24"/>
              </w:rPr>
              <w:t>100</w:t>
            </w:r>
          </w:p>
        </w:tc>
        <w:tc>
          <w:tcPr>
            <w:tcW w:w="3038" w:type="dxa"/>
            <w:vMerge/>
            <w:vAlign w:val="center"/>
            <w:hideMark/>
          </w:tcPr>
          <w:p w:rsidR="0074548F" w:rsidRDefault="0074548F">
            <w:pPr>
              <w:rPr>
                <w:szCs w:val="24"/>
              </w:rPr>
            </w:pPr>
          </w:p>
        </w:tc>
      </w:tr>
    </w:tbl>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N</w:t>
      </w:r>
      <w:r>
        <w:rPr>
          <w:szCs w:val="24"/>
          <w:vertAlign w:val="subscript"/>
        </w:rPr>
        <w:t>1</w:t>
      </w:r>
      <w:r>
        <w:rPr>
          <w:szCs w:val="24"/>
        </w:rPr>
        <w:t xml:space="preserve"> – žala dėl pirmos amžiaus klasės jaunuolyno pažeidimo, Eur,</w:t>
      </w:r>
    </w:p>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lastRenderedPageBreak/>
        <w:t>I</w:t>
      </w:r>
      <w:r>
        <w:rPr>
          <w:szCs w:val="24"/>
          <w:vertAlign w:val="subscript"/>
        </w:rPr>
        <w:t>s</w:t>
      </w:r>
      <w:r>
        <w:rPr>
          <w:szCs w:val="24"/>
        </w:rPr>
        <w:t xml:space="preserve"> – 1 ha pažeisto miško atkūrimo ir išauginimo išlaidos Eur už ha, kurias sudaro: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3294"/>
        <w:gridCol w:w="1383"/>
        <w:gridCol w:w="1240"/>
        <w:gridCol w:w="1660"/>
        <w:gridCol w:w="1660"/>
      </w:tblGrid>
      <w:tr w:rsidR="0074548F">
        <w:trPr>
          <w:trHeight w:val="20"/>
        </w:trPr>
        <w:tc>
          <w:tcPr>
            <w:tcW w:w="26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jc w:val="center"/>
              <w:rPr>
                <w:szCs w:val="24"/>
              </w:rPr>
            </w:pPr>
            <w:r>
              <w:rPr>
                <w:szCs w:val="24"/>
              </w:rPr>
              <w:t>Eil. Nr.</w:t>
            </w:r>
          </w:p>
        </w:tc>
        <w:tc>
          <w:tcPr>
            <w:tcW w:w="168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jc w:val="center"/>
              <w:rPr>
                <w:szCs w:val="24"/>
              </w:rPr>
            </w:pPr>
            <w:r>
              <w:rPr>
                <w:szCs w:val="24"/>
              </w:rPr>
              <w:t>Miško rūšinės sudėties grupės pagal vyraujančias medžių rūšis</w:t>
            </w:r>
          </w:p>
        </w:tc>
        <w:tc>
          <w:tcPr>
            <w:tcW w:w="7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jc w:val="center"/>
              <w:rPr>
                <w:szCs w:val="24"/>
              </w:rPr>
            </w:pPr>
            <w:r>
              <w:rPr>
                <w:szCs w:val="24"/>
              </w:rPr>
              <w:t>Miško atkūrimo išlaidos,</w:t>
            </w:r>
          </w:p>
          <w:p w:rsidR="0074548F" w:rsidRDefault="008324B0">
            <w:pPr>
              <w:widowControl w:val="0"/>
              <w:ind w:firstLine="60"/>
              <w:jc w:val="center"/>
              <w:rPr>
                <w:szCs w:val="24"/>
              </w:rPr>
            </w:pPr>
            <w:r>
              <w:rPr>
                <w:szCs w:val="24"/>
              </w:rPr>
              <w:t>Eur už ha</w:t>
            </w:r>
          </w:p>
        </w:tc>
        <w:tc>
          <w:tcPr>
            <w:tcW w:w="63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jc w:val="center"/>
              <w:rPr>
                <w:szCs w:val="24"/>
              </w:rPr>
            </w:pPr>
            <w:r>
              <w:rPr>
                <w:szCs w:val="24"/>
              </w:rPr>
              <w:t>Miško želdinių apsaugos išlaidos*, Eur už ha</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jc w:val="center"/>
              <w:rPr>
                <w:szCs w:val="24"/>
              </w:rPr>
            </w:pPr>
            <w:r>
              <w:rPr>
                <w:szCs w:val="24"/>
              </w:rPr>
              <w:t>Miško želdinių priežiūro</w:t>
            </w:r>
            <w:r>
              <w:rPr>
                <w:szCs w:val="24"/>
              </w:rPr>
              <w:t xml:space="preserve">s išlaidos*, </w:t>
            </w:r>
          </w:p>
          <w:p w:rsidR="0074548F" w:rsidRDefault="008324B0">
            <w:pPr>
              <w:widowControl w:val="0"/>
              <w:jc w:val="center"/>
              <w:rPr>
                <w:szCs w:val="24"/>
              </w:rPr>
            </w:pPr>
            <w:r>
              <w:rPr>
                <w:szCs w:val="24"/>
              </w:rPr>
              <w:t>Eur už ha</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jc w:val="center"/>
              <w:rPr>
                <w:szCs w:val="24"/>
              </w:rPr>
            </w:pPr>
            <w:r>
              <w:rPr>
                <w:szCs w:val="24"/>
              </w:rPr>
              <w:t>Jaunuolynų ugdymo kirtimų išlaidos*,</w:t>
            </w:r>
          </w:p>
          <w:p w:rsidR="0074548F" w:rsidRDefault="008324B0">
            <w:pPr>
              <w:widowControl w:val="0"/>
              <w:ind w:firstLine="60"/>
              <w:jc w:val="center"/>
              <w:rPr>
                <w:szCs w:val="24"/>
              </w:rPr>
            </w:pPr>
            <w:r>
              <w:rPr>
                <w:szCs w:val="24"/>
              </w:rPr>
              <w:t>Eur už ha</w:t>
            </w:r>
          </w:p>
        </w:tc>
      </w:tr>
      <w:tr w:rsidR="0074548F">
        <w:trPr>
          <w:trHeight w:val="20"/>
        </w:trPr>
        <w:tc>
          <w:tcPr>
            <w:tcW w:w="26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1.</w:t>
            </w:r>
          </w:p>
        </w:tc>
        <w:tc>
          <w:tcPr>
            <w:tcW w:w="168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rPr>
                <w:szCs w:val="24"/>
              </w:rPr>
            </w:pPr>
            <w:r>
              <w:rPr>
                <w:szCs w:val="24"/>
              </w:rPr>
              <w:t xml:space="preserve">Spygliuočiai </w:t>
            </w:r>
          </w:p>
        </w:tc>
        <w:tc>
          <w:tcPr>
            <w:tcW w:w="7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1014</w:t>
            </w:r>
          </w:p>
        </w:tc>
        <w:tc>
          <w:tcPr>
            <w:tcW w:w="63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1130</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1144</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261</w:t>
            </w:r>
          </w:p>
        </w:tc>
      </w:tr>
      <w:tr w:rsidR="0074548F">
        <w:trPr>
          <w:trHeight w:val="20"/>
        </w:trPr>
        <w:tc>
          <w:tcPr>
            <w:tcW w:w="26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2.</w:t>
            </w:r>
          </w:p>
        </w:tc>
        <w:tc>
          <w:tcPr>
            <w:tcW w:w="168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rPr>
                <w:szCs w:val="24"/>
              </w:rPr>
            </w:pPr>
            <w:r>
              <w:rPr>
                <w:szCs w:val="24"/>
              </w:rPr>
              <w:t xml:space="preserve">Minkštieji lapuočiai </w:t>
            </w:r>
          </w:p>
        </w:tc>
        <w:tc>
          <w:tcPr>
            <w:tcW w:w="7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1014</w:t>
            </w:r>
          </w:p>
        </w:tc>
        <w:tc>
          <w:tcPr>
            <w:tcW w:w="63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869</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1144</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bottom"/>
            <w:hideMark/>
          </w:tcPr>
          <w:p w:rsidR="0074548F" w:rsidRDefault="008324B0">
            <w:pPr>
              <w:widowControl w:val="0"/>
              <w:jc w:val="center"/>
              <w:rPr>
                <w:szCs w:val="24"/>
              </w:rPr>
            </w:pPr>
            <w:r>
              <w:rPr>
                <w:szCs w:val="24"/>
              </w:rPr>
              <w:t>232</w:t>
            </w:r>
          </w:p>
        </w:tc>
      </w:tr>
      <w:tr w:rsidR="0074548F">
        <w:trPr>
          <w:trHeight w:val="20"/>
        </w:trPr>
        <w:tc>
          <w:tcPr>
            <w:tcW w:w="26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3.</w:t>
            </w:r>
          </w:p>
        </w:tc>
        <w:tc>
          <w:tcPr>
            <w:tcW w:w="168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rsidR="0074548F" w:rsidRDefault="008324B0">
            <w:pPr>
              <w:widowControl w:val="0"/>
              <w:rPr>
                <w:szCs w:val="24"/>
              </w:rPr>
            </w:pPr>
            <w:r>
              <w:rPr>
                <w:szCs w:val="24"/>
              </w:rPr>
              <w:t xml:space="preserve">Kietieji lapuočiai (iki 75 proc.) </w:t>
            </w:r>
          </w:p>
        </w:tc>
        <w:tc>
          <w:tcPr>
            <w:tcW w:w="7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1303</w:t>
            </w:r>
          </w:p>
        </w:tc>
        <w:tc>
          <w:tcPr>
            <w:tcW w:w="63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2404</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1187</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261</w:t>
            </w:r>
          </w:p>
        </w:tc>
      </w:tr>
      <w:tr w:rsidR="0074548F">
        <w:trPr>
          <w:trHeight w:val="20"/>
        </w:trPr>
        <w:tc>
          <w:tcPr>
            <w:tcW w:w="26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4.</w:t>
            </w:r>
          </w:p>
        </w:tc>
        <w:tc>
          <w:tcPr>
            <w:tcW w:w="168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rPr>
                <w:szCs w:val="24"/>
              </w:rPr>
            </w:pPr>
            <w:r>
              <w:rPr>
                <w:szCs w:val="24"/>
              </w:rPr>
              <w:t xml:space="preserve">Gryni (76 proc. ir daugiau) kietieji </w:t>
            </w:r>
            <w:r>
              <w:rPr>
                <w:szCs w:val="24"/>
              </w:rPr>
              <w:t>lapuočiai ir liepynai</w:t>
            </w:r>
          </w:p>
        </w:tc>
        <w:tc>
          <w:tcPr>
            <w:tcW w:w="7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1564</w:t>
            </w:r>
          </w:p>
        </w:tc>
        <w:tc>
          <w:tcPr>
            <w:tcW w:w="63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2404</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1274</w:t>
            </w:r>
          </w:p>
        </w:tc>
        <w:tc>
          <w:tcPr>
            <w:tcW w:w="851"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rsidR="0074548F" w:rsidRDefault="008324B0">
            <w:pPr>
              <w:widowControl w:val="0"/>
              <w:jc w:val="center"/>
              <w:rPr>
                <w:szCs w:val="24"/>
              </w:rPr>
            </w:pPr>
            <w:r>
              <w:rPr>
                <w:szCs w:val="24"/>
              </w:rPr>
              <w:t>261</w:t>
            </w:r>
          </w:p>
        </w:tc>
      </w:tr>
    </w:tbl>
    <w:p w:rsidR="0074548F" w:rsidRDefault="007454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Cs w:val="24"/>
        </w:rPr>
      </w:pPr>
      <w:r>
        <w:rPr>
          <w:szCs w:val="24"/>
        </w:rPr>
        <w:t>* – skaičiuojamos, jeigu įrodoma, kad buvo taikytos miško želdinių ir žėlinių priežiūros, apsaugos priemonės, atlikti jaunuolynų ugdymo darbai,</w:t>
      </w:r>
    </w:p>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Cs w:val="24"/>
        </w:rPr>
      </w:pPr>
      <w:r>
        <w:rPr>
          <w:szCs w:val="24"/>
        </w:rPr>
        <w:t>X – stipriai pažeistų ir žuvusių tikslinių medžių rūšių medžių dalis,</w:t>
      </w:r>
      <w:r>
        <w:rPr>
          <w:szCs w:val="24"/>
        </w:rPr>
        <w:t xml:space="preserve"> %,</w:t>
      </w:r>
    </w:p>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Cs w:val="24"/>
        </w:rPr>
      </w:pPr>
      <w:r>
        <w:rPr>
          <w:szCs w:val="24"/>
        </w:rPr>
        <w:t>P – sklypo plotas, ha.</w:t>
      </w:r>
    </w:p>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Cs w:val="24"/>
        </w:rPr>
      </w:pPr>
      <w:r>
        <w:rPr>
          <w:szCs w:val="24"/>
        </w:rPr>
        <w:t>Tačiau, jeigu dėl medžiojamųjų gyvūnų padarytų pakenkimų bendras gyvybingų medžių skaičius 1 ha pagal Miško atkūrimo ir įveisimo nuostatų 38 punktą neatitinka nustatytų reikalavimų, t. y. nepakankamas medynui suformuoti, padaryto</w:t>
      </w:r>
      <w:r>
        <w:rPr>
          <w:szCs w:val="24"/>
        </w:rPr>
        <w:t>s žalos piniginė išraiška apskaičiuojama laikant, kad miškas yra žuvęs ir jį būtina atkurti. 1 ha miško atkūrimo išlaidos padauginamos iš sklypo ploto:</w:t>
      </w:r>
    </w:p>
    <w:p w:rsidR="0074548F" w:rsidRDefault="008324B0">
      <w:pPr>
        <w:tabs>
          <w:tab w:val="left" w:pos="916"/>
          <w:tab w:val="left" w:pos="1832"/>
          <w:tab w:val="left" w:pos="2268"/>
          <w:tab w:val="left" w:pos="2748"/>
          <w:tab w:val="left" w:pos="3664"/>
          <w:tab w:val="left" w:pos="4111"/>
          <w:tab w:val="left" w:pos="5496"/>
          <w:tab w:val="left" w:pos="6412"/>
          <w:tab w:val="left" w:pos="7328"/>
          <w:tab w:val="left" w:pos="8244"/>
          <w:tab w:val="left" w:pos="9639"/>
          <w:tab w:val="left" w:pos="10076"/>
          <w:tab w:val="left" w:pos="10992"/>
          <w:tab w:val="left" w:pos="11908"/>
          <w:tab w:val="left" w:pos="12824"/>
          <w:tab w:val="left" w:pos="13740"/>
          <w:tab w:val="left" w:pos="14656"/>
        </w:tabs>
        <w:jc w:val="center"/>
        <w:rPr>
          <w:szCs w:val="24"/>
        </w:rPr>
      </w:pPr>
      <w:r>
        <w:rPr>
          <w:szCs w:val="24"/>
        </w:rPr>
        <w:t>N</w:t>
      </w:r>
      <w:r>
        <w:rPr>
          <w:szCs w:val="24"/>
          <w:vertAlign w:val="subscript"/>
        </w:rPr>
        <w:t>1</w:t>
      </w:r>
      <w:r>
        <w:rPr>
          <w:szCs w:val="24"/>
        </w:rPr>
        <w:t xml:space="preserve"> = I</w:t>
      </w:r>
      <w:r>
        <w:rPr>
          <w:szCs w:val="24"/>
          <w:vertAlign w:val="subscript"/>
        </w:rPr>
        <w:t>s</w:t>
      </w:r>
      <w:r>
        <w:rPr>
          <w:szCs w:val="24"/>
        </w:rPr>
        <w:t>xP,  Eur.</w:t>
      </w:r>
    </w:p>
    <w:p w:rsidR="0074548F" w:rsidRDefault="008324B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Cs w:val="24"/>
        </w:rPr>
      </w:pPr>
      <w:r>
        <w:rPr>
          <w:szCs w:val="24"/>
        </w:rPr>
        <w:t xml:space="preserve">21. Antros amžiaus klasės ir vyresnio amžiaus medynų pažeidimo atveju žalos piniginė </w:t>
      </w:r>
      <w:r>
        <w:rPr>
          <w:szCs w:val="24"/>
        </w:rPr>
        <w:t>išraiška apskaičiuojama įvertinant žalą, susidariusią dėl medienos prieaugio praradimo:</w:t>
      </w:r>
    </w:p>
    <w:p w:rsidR="0074548F" w:rsidRDefault="007454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tbl>
      <w:tblPr>
        <w:tblW w:w="9630" w:type="dxa"/>
        <w:jc w:val="center"/>
        <w:tblLayout w:type="fixed"/>
        <w:tblLook w:val="04A0" w:firstRow="1" w:lastRow="0" w:firstColumn="1" w:lastColumn="0" w:noHBand="0" w:noVBand="1"/>
      </w:tblPr>
      <w:tblGrid>
        <w:gridCol w:w="2295"/>
        <w:gridCol w:w="3947"/>
        <w:gridCol w:w="3388"/>
      </w:tblGrid>
      <w:tr w:rsidR="0074548F">
        <w:trPr>
          <w:cantSplit/>
          <w:jc w:val="center"/>
        </w:trPr>
        <w:tc>
          <w:tcPr>
            <w:tcW w:w="2297" w:type="dxa"/>
            <w:vMerge w:val="restart"/>
            <w:vAlign w:val="center"/>
            <w:hideMark/>
          </w:tcPr>
          <w:p w:rsidR="0074548F" w:rsidRDefault="008324B0">
            <w:pPr>
              <w:widowControl w:val="0"/>
              <w:jc w:val="right"/>
              <w:rPr>
                <w:szCs w:val="24"/>
              </w:rPr>
            </w:pPr>
            <w:r>
              <w:rPr>
                <w:szCs w:val="24"/>
              </w:rPr>
              <w:br w:type="page"/>
              <w:t>N</w:t>
            </w:r>
            <w:r>
              <w:rPr>
                <w:szCs w:val="24"/>
                <w:vertAlign w:val="subscript"/>
              </w:rPr>
              <w:t>2</w:t>
            </w:r>
            <w:r>
              <w:rPr>
                <w:szCs w:val="24"/>
              </w:rPr>
              <w:t xml:space="preserve"> =</w:t>
            </w:r>
          </w:p>
        </w:tc>
        <w:tc>
          <w:tcPr>
            <w:tcW w:w="3950" w:type="dxa"/>
            <w:tcBorders>
              <w:top w:val="nil"/>
              <w:left w:val="nil"/>
              <w:bottom w:val="single" w:sz="4" w:space="0" w:color="auto"/>
              <w:right w:val="nil"/>
            </w:tcBorders>
            <w:hideMark/>
          </w:tcPr>
          <w:p w:rsidR="0074548F" w:rsidRDefault="008324B0">
            <w:pPr>
              <w:widowControl w:val="0"/>
              <w:jc w:val="center"/>
              <w:rPr>
                <w:szCs w:val="24"/>
              </w:rPr>
            </w:pPr>
            <w:r>
              <w:rPr>
                <w:szCs w:val="24"/>
              </w:rPr>
              <w:t>I</w:t>
            </w:r>
            <w:r>
              <w:rPr>
                <w:szCs w:val="24"/>
                <w:vertAlign w:val="subscript"/>
              </w:rPr>
              <w:t>p</w:t>
            </w:r>
            <w:r>
              <w:rPr>
                <w:szCs w:val="24"/>
              </w:rPr>
              <w:t>xSxP</w:t>
            </w:r>
          </w:p>
        </w:tc>
        <w:tc>
          <w:tcPr>
            <w:tcW w:w="3390" w:type="dxa"/>
            <w:vMerge w:val="restart"/>
            <w:vAlign w:val="center"/>
            <w:hideMark/>
          </w:tcPr>
          <w:p w:rsidR="0074548F" w:rsidRDefault="008324B0">
            <w:pPr>
              <w:widowControl w:val="0"/>
              <w:ind w:left="-108"/>
              <w:jc w:val="both"/>
              <w:rPr>
                <w:szCs w:val="24"/>
              </w:rPr>
            </w:pPr>
            <w:r>
              <w:rPr>
                <w:szCs w:val="24"/>
              </w:rPr>
              <w:t>,  Eur.</w:t>
            </w:r>
          </w:p>
        </w:tc>
      </w:tr>
      <w:tr w:rsidR="0074548F">
        <w:trPr>
          <w:cantSplit/>
          <w:jc w:val="center"/>
        </w:trPr>
        <w:tc>
          <w:tcPr>
            <w:tcW w:w="2297" w:type="dxa"/>
            <w:vMerge/>
            <w:vAlign w:val="center"/>
            <w:hideMark/>
          </w:tcPr>
          <w:p w:rsidR="0074548F" w:rsidRDefault="0074548F">
            <w:pPr>
              <w:rPr>
                <w:szCs w:val="24"/>
              </w:rPr>
            </w:pPr>
          </w:p>
        </w:tc>
        <w:tc>
          <w:tcPr>
            <w:tcW w:w="3950" w:type="dxa"/>
            <w:hideMark/>
          </w:tcPr>
          <w:p w:rsidR="0074548F" w:rsidRDefault="008324B0">
            <w:pPr>
              <w:widowControl w:val="0"/>
              <w:jc w:val="center"/>
              <w:rPr>
                <w:szCs w:val="24"/>
              </w:rPr>
            </w:pPr>
            <w:r>
              <w:rPr>
                <w:szCs w:val="24"/>
              </w:rPr>
              <w:t>100</w:t>
            </w:r>
          </w:p>
        </w:tc>
        <w:tc>
          <w:tcPr>
            <w:tcW w:w="3390" w:type="dxa"/>
            <w:vMerge/>
            <w:vAlign w:val="center"/>
            <w:hideMark/>
          </w:tcPr>
          <w:p w:rsidR="0074548F" w:rsidRDefault="0074548F">
            <w:pPr>
              <w:rPr>
                <w:szCs w:val="24"/>
              </w:rPr>
            </w:pPr>
          </w:p>
        </w:tc>
      </w:tr>
    </w:tbl>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N</w:t>
      </w:r>
      <w:r>
        <w:rPr>
          <w:szCs w:val="24"/>
          <w:vertAlign w:val="subscript"/>
        </w:rPr>
        <w:t>2</w:t>
      </w:r>
      <w:r>
        <w:rPr>
          <w:szCs w:val="24"/>
        </w:rPr>
        <w:t xml:space="preserve"> – žala dėl medienos prieaugio praradimo, Eur,</w:t>
      </w:r>
    </w:p>
    <w:p w:rsidR="0074548F" w:rsidRDefault="008324B0">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I</w:t>
      </w:r>
      <w:r>
        <w:rPr>
          <w:szCs w:val="24"/>
          <w:vertAlign w:val="subscript"/>
        </w:rPr>
        <w:t>p</w:t>
      </w:r>
      <w:r>
        <w:rPr>
          <w:szCs w:val="24"/>
        </w:rPr>
        <w:t xml:space="preserve"> – medienos prieaugio praradimo nuostoliai, iškertant nebrandžius 1,0 skalsumo medynus, nustatyti pagal 3 priedą, Eur už ha,</w:t>
      </w:r>
    </w:p>
    <w:p w:rsidR="0074548F" w:rsidRDefault="008324B0">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S – medyno skalsumas.</w:t>
      </w:r>
    </w:p>
    <w:p w:rsidR="0074548F" w:rsidRDefault="008324B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Tačiau, jeigu dėl medžiojamųjų gyvūnų padarytų pakenkimų bendras gyvybingų medžių skaičius 1 ha pagal Miško a</w:t>
      </w:r>
      <w:r>
        <w:rPr>
          <w:szCs w:val="24"/>
        </w:rPr>
        <w:t>tkūrimo ir įveisimo nuostatų 38 punktą neatitinka nustatytų reikalavimų, t. y. nepakankamas medynui suformuoti, padarytos žalos piniginė išraiška apskaičiuojama laikant, kad miškas yra žuvęs ir jį būtina iškirsti ir atkurti. Tokiu atveju medienos prieaugio</w:t>
      </w:r>
      <w:r>
        <w:rPr>
          <w:szCs w:val="24"/>
        </w:rPr>
        <w:t xml:space="preserve"> praradimo nuostoliai, iškertant 1 ha nebrandaus medyno, padauginami iš skalsumo ir sklypo ploto ir pridedamos miško atkūrimo išlaidos:</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N</w:t>
      </w:r>
      <w:r>
        <w:rPr>
          <w:szCs w:val="24"/>
          <w:vertAlign w:val="subscript"/>
        </w:rPr>
        <w:t>2</w:t>
      </w:r>
      <w:r>
        <w:rPr>
          <w:szCs w:val="24"/>
        </w:rPr>
        <w:t xml:space="preserve"> = I</w:t>
      </w:r>
      <w:r>
        <w:rPr>
          <w:szCs w:val="24"/>
          <w:vertAlign w:val="subscript"/>
        </w:rPr>
        <w:t>p</w:t>
      </w:r>
      <w:r>
        <w:rPr>
          <w:szCs w:val="24"/>
        </w:rPr>
        <w:t>xSxP + N</w:t>
      </w:r>
      <w:r>
        <w:rPr>
          <w:szCs w:val="24"/>
          <w:vertAlign w:val="subscript"/>
        </w:rPr>
        <w:t>1</w:t>
      </w:r>
      <w:r>
        <w:rPr>
          <w:szCs w:val="24"/>
        </w:rPr>
        <w:t>, Eur.</w:t>
      </w:r>
    </w:p>
    <w:p w:rsidR="0074548F" w:rsidRDefault="008324B0">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22. Kai miško želdiniai, žėliniai, jaunuolynai medžiojamųjų gyvūnų (pvz., bebrų) visiškai sunaiki</w:t>
      </w:r>
      <w:r>
        <w:rPr>
          <w:szCs w:val="24"/>
        </w:rPr>
        <w:t xml:space="preserve">nti visame ar tik dalyje sklypo, apskaitos aikštelės neišskiriamos ir stipriai pažeistų ir žuvusių tikslinių rūšių medelių (medžių) dalis nenustatoma. Nustačius sunaikintų želdinių, žėlinių ir jaunuolynų plotą, žalos piniginė išraiška apskaičiuojama pagal </w:t>
      </w:r>
      <w:r>
        <w:rPr>
          <w:szCs w:val="24"/>
        </w:rPr>
        <w:t>Nuostolių dėl medienos prieaugio ir padaringumo praradimo, kai iškertamas nebrandus medynas, apskaičiavimo metodiką, pridedant pažeisto miško atkūrimo ir išauginimo išlaidas.</w:t>
      </w:r>
    </w:p>
    <w:p w:rsidR="0074548F" w:rsidRDefault="0074548F">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 xml:space="preserve">V SKYRIUS </w:t>
      </w:r>
    </w:p>
    <w:p w:rsidR="0074548F" w:rsidRDefault="0083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HIDROTECHNIKOS ĮRENGINIAMS PADARYTOS ŽALOS APSKAIČIAVIMAS</w:t>
      </w:r>
    </w:p>
    <w:p w:rsidR="0074548F" w:rsidRDefault="00745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74548F" w:rsidRDefault="008324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lastRenderedPageBreak/>
        <w:t xml:space="preserve">23. </w:t>
      </w:r>
      <w:r>
        <w:rPr>
          <w:szCs w:val="24"/>
        </w:rPr>
        <w:t>Medžiojamųjų gyvūnų padaryta žala hidrotechnikos įrenginiams atlyginama pateikus realiai patirtas išlaidas pagrindžiančius dokumentus.</w:t>
      </w:r>
    </w:p>
    <w:p w:rsidR="0074548F" w:rsidRDefault="008324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24. Pagrindžiamieji dokumentai hidrotechnikos įrenginiams yra nuolatinių apžiūrų žurnalas, kuris pildomas vadovaujantis S</w:t>
      </w:r>
      <w:r>
        <w:rPr>
          <w:szCs w:val="24"/>
        </w:rPr>
        <w:t>tatybos techniniu reglamentu STR 1.12.03:2006 „Hidrotechnikos statinių techninės priežiūros taisyklės“, patvirtintu Lietuvos Respublikos aplinkos ministro 2006 m. gruodžio 20 d. įsakymu Nr. D1-606 „Dėl statybos techninio reglamento STR 1.12.03:2006 „Hidrot</w:t>
      </w:r>
      <w:r>
        <w:rPr>
          <w:szCs w:val="24"/>
        </w:rPr>
        <w:t>echnikos statinių techninės priežiūros taisyklės patvirtinimo“, ir realiai patirtų išlaidų sąskaitos už hidrotechnikos įrenginių remonto darbus.</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color w:val="000000"/>
          <w:szCs w:val="24"/>
        </w:rPr>
        <w:t>_________________</w:t>
      </w:r>
    </w:p>
    <w:p w:rsidR="0074548F" w:rsidRDefault="008324B0">
      <w:pPr>
        <w:rPr>
          <w:rFonts w:eastAsia="MS Mincho"/>
          <w:i/>
          <w:iCs/>
          <w:sz w:val="20"/>
        </w:rPr>
      </w:pPr>
      <w:r>
        <w:rPr>
          <w:rFonts w:eastAsia="MS Mincho"/>
          <w:i/>
          <w:iCs/>
          <w:sz w:val="20"/>
        </w:rPr>
        <w:t>Priedo pakeitimai:</w:t>
      </w:r>
    </w:p>
    <w:p w:rsidR="0074548F" w:rsidRDefault="008324B0">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D1-723/3D-669</w:t>
        </w:r>
      </w:hyperlink>
      <w:r>
        <w:rPr>
          <w:rFonts w:eastAsia="MS Mincho"/>
          <w:i/>
          <w:iCs/>
          <w:sz w:val="20"/>
        </w:rPr>
        <w:t>, 2013-10-01, Žin., 2013, Nr. 105-5162 (2013-10-05), i. k. 113301MISAK3/3D-669</w:t>
      </w:r>
    </w:p>
    <w:p w:rsidR="0074548F" w:rsidRDefault="008324B0">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D1-69/3D-36</w:t>
        </w:r>
      </w:hyperlink>
      <w:r>
        <w:rPr>
          <w:rFonts w:eastAsia="MS Mincho"/>
          <w:i/>
          <w:iCs/>
          <w:sz w:val="20"/>
        </w:rPr>
        <w:t>, 2015-01-22, paskelbta TAR 2015-01-23,</w:t>
      </w:r>
      <w:r>
        <w:rPr>
          <w:rFonts w:eastAsia="MS Mincho"/>
          <w:i/>
          <w:iCs/>
          <w:sz w:val="20"/>
        </w:rPr>
        <w:t xml:space="preserve"> i. k. 2015-01000</w:t>
      </w:r>
    </w:p>
    <w:p w:rsidR="0074548F" w:rsidRDefault="0074548F"/>
    <w:p w:rsidR="0074548F" w:rsidRDefault="0074548F">
      <w:pPr>
        <w:ind w:left="5046"/>
        <w:sectPr w:rsidR="0074548F">
          <w:headerReference w:type="default" r:id="rId34"/>
          <w:headerReference w:type="first" r:id="rId35"/>
          <w:pgSz w:w="11906" w:h="16838"/>
          <w:pgMar w:top="1701" w:right="567" w:bottom="1134" w:left="1701" w:header="567" w:footer="567" w:gutter="0"/>
          <w:pgNumType w:start="1"/>
          <w:cols w:space="1296"/>
          <w:titlePg/>
          <w:docGrid w:linePitch="360"/>
        </w:sectPr>
      </w:pPr>
    </w:p>
    <w:p w:rsidR="0074548F" w:rsidRDefault="008324B0">
      <w:pPr>
        <w:ind w:left="5046"/>
        <w:rPr>
          <w:color w:val="000000"/>
          <w:szCs w:val="24"/>
          <w:lang w:eastAsia="lt-LT"/>
        </w:rPr>
      </w:pPr>
      <w:r>
        <w:rPr>
          <w:color w:val="000000"/>
          <w:szCs w:val="24"/>
          <w:lang w:eastAsia="lt-LT"/>
        </w:rPr>
        <w:lastRenderedPageBreak/>
        <w:t>Medžiojamųjų gyvūnų padarytos žalos žemės ūkio pasėliams, ūkiniams gyvūnams ir miškui apskaičiavimo metodikos</w:t>
      </w:r>
    </w:p>
    <w:p w:rsidR="0074548F" w:rsidRDefault="008324B0">
      <w:pPr>
        <w:ind w:left="5046"/>
        <w:rPr>
          <w:rFonts w:ascii="Arial" w:hAnsi="Arial" w:cs="Arial"/>
          <w:color w:val="000000"/>
          <w:sz w:val="22"/>
          <w:szCs w:val="22"/>
          <w:lang w:eastAsia="lt-LT"/>
        </w:rPr>
      </w:pPr>
      <w:r>
        <w:rPr>
          <w:color w:val="000000"/>
          <w:szCs w:val="24"/>
          <w:lang w:eastAsia="lt-LT"/>
        </w:rPr>
        <w:t>1 priedas</w:t>
      </w:r>
      <w:r>
        <w:rPr>
          <w:rFonts w:ascii="Arial" w:hAnsi="Arial" w:cs="Arial"/>
          <w:color w:val="000000"/>
          <w:sz w:val="22"/>
          <w:szCs w:val="22"/>
          <w:lang w:eastAsia="lt-LT"/>
        </w:rPr>
        <w:t xml:space="preserve"> </w:t>
      </w:r>
    </w:p>
    <w:p w:rsidR="0074548F" w:rsidRDefault="0074548F">
      <w:pPr>
        <w:rPr>
          <w:rFonts w:eastAsia="MS Mincho"/>
          <w:color w:val="000000"/>
          <w:spacing w:val="-3"/>
          <w:szCs w:val="24"/>
          <w:lang w:eastAsia="lt-LT"/>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pPr>
      <w:r>
        <w:rPr>
          <w:b/>
          <w:szCs w:val="24"/>
        </w:rPr>
        <w:t>(Medžiojamųjų gyvūnų padarytos žalos apžiūros akto forma)</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Cs w:val="24"/>
        </w:rPr>
      </w:pPr>
      <w:r>
        <w:rPr>
          <w:b/>
          <w:szCs w:val="24"/>
        </w:rPr>
        <w:t>___________________ SAVIVALDYBĖS KOMISIJA MEDŽIOJAMŲJŲ GYVŪNŲ PADARYTAI ŽALAI ĮVERTINTI</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b/>
          <w:szCs w:val="24"/>
        </w:rPr>
      </w:pPr>
      <w:r>
        <w:rPr>
          <w:b/>
          <w:szCs w:val="24"/>
        </w:rPr>
        <w:t>MEDŽIOJAMŲJŲ GYVŪNŲ PADARYTOS ŽALOS APŽIŪROS AKTAS NR.</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Cs w:val="24"/>
        </w:rPr>
      </w:pPr>
      <w:r>
        <w:rPr>
          <w:szCs w:val="24"/>
        </w:rPr>
        <w:t>_______________________</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0"/>
        </w:rPr>
      </w:pPr>
      <w:r>
        <w:rPr>
          <w:sz w:val="20"/>
        </w:rPr>
        <w:t>(data)</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0"/>
        </w:rPr>
      </w:pPr>
    </w:p>
    <w:p w:rsidR="0074548F" w:rsidRDefault="008324B0">
      <w:pPr>
        <w:tabs>
          <w:tab w:val="right" w:leader="underscore" w:pos="9072"/>
        </w:tabs>
        <w:suppressAutoHyphens/>
        <w:jc w:val="center"/>
        <w:textAlignment w:val="baseline"/>
        <w:rPr>
          <w:szCs w:val="24"/>
        </w:rPr>
      </w:pPr>
      <w:r>
        <w:rPr>
          <w:szCs w:val="24"/>
        </w:rPr>
        <w:t>______________________________________</w:t>
      </w:r>
    </w:p>
    <w:p w:rsidR="0074548F" w:rsidRDefault="008324B0">
      <w:pPr>
        <w:tabs>
          <w:tab w:val="right" w:leader="underscore" w:pos="9072"/>
        </w:tabs>
        <w:suppressAutoHyphens/>
        <w:jc w:val="center"/>
        <w:textAlignment w:val="baseline"/>
        <w:rPr>
          <w:sz w:val="20"/>
        </w:rPr>
      </w:pPr>
      <w:r>
        <w:rPr>
          <w:sz w:val="20"/>
        </w:rPr>
        <w:t>(žalos padarymo vieta / koordinatės WGS f</w:t>
      </w:r>
      <w:r>
        <w:rPr>
          <w:sz w:val="20"/>
        </w:rPr>
        <w:t>ormatu pagal Globalaus pozicionavimo (GPS) sistemą)</w:t>
      </w:r>
    </w:p>
    <w:p w:rsidR="0074548F" w:rsidRDefault="0074548F">
      <w:pPr>
        <w:tabs>
          <w:tab w:val="right" w:leader="underscore" w:pos="9638"/>
        </w:tabs>
        <w:suppressAutoHyphens/>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Mes,</w:t>
      </w:r>
      <w:r>
        <w:rPr>
          <w:szCs w:val="24"/>
        </w:rPr>
        <w:tab/>
        <w:t xml:space="preserve">  savivaldybės komisija medžiojamųjų gyvūnų padarytai žalai įvertinti:</w:t>
      </w:r>
    </w:p>
    <w:p w:rsidR="0074548F" w:rsidRDefault="0074548F">
      <w:pPr>
        <w:tabs>
          <w:tab w:val="right" w:leader="underscore" w:pos="9638"/>
        </w:tabs>
        <w:suppressAutoHyphens/>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1.</w:t>
      </w:r>
      <w:r>
        <w:rPr>
          <w:szCs w:val="24"/>
        </w:rPr>
        <w:tab/>
      </w:r>
    </w:p>
    <w:p w:rsidR="0074548F" w:rsidRDefault="008324B0">
      <w:pPr>
        <w:tabs>
          <w:tab w:val="right" w:leader="underscore" w:pos="9072"/>
        </w:tabs>
        <w:suppressAutoHyphens/>
        <w:ind w:firstLine="4111"/>
        <w:textAlignment w:val="baseline"/>
        <w:rPr>
          <w:sz w:val="20"/>
        </w:rPr>
      </w:pPr>
      <w:r>
        <w:rPr>
          <w:sz w:val="20"/>
        </w:rPr>
        <w:t>(vardas, pavardė)</w:t>
      </w:r>
    </w:p>
    <w:p w:rsidR="0074548F" w:rsidRDefault="008324B0">
      <w:pPr>
        <w:tabs>
          <w:tab w:val="right" w:leader="underscore" w:pos="9072"/>
        </w:tabs>
        <w:suppressAutoHyphens/>
        <w:jc w:val="both"/>
        <w:textAlignment w:val="baseline"/>
        <w:rPr>
          <w:szCs w:val="24"/>
        </w:rPr>
      </w:pPr>
      <w:r>
        <w:rPr>
          <w:szCs w:val="24"/>
        </w:rPr>
        <w:t>2.</w:t>
      </w:r>
      <w:r>
        <w:rPr>
          <w:szCs w:val="24"/>
        </w:rPr>
        <w:tab/>
      </w:r>
    </w:p>
    <w:p w:rsidR="0074548F" w:rsidRDefault="008324B0">
      <w:pPr>
        <w:tabs>
          <w:tab w:val="right" w:leader="underscore" w:pos="9072"/>
        </w:tabs>
        <w:suppressAutoHyphens/>
        <w:ind w:firstLine="4111"/>
        <w:textAlignment w:val="baseline"/>
        <w:rPr>
          <w:sz w:val="20"/>
        </w:rPr>
      </w:pPr>
      <w:r>
        <w:rPr>
          <w:sz w:val="20"/>
        </w:rPr>
        <w:t>(vardas, pavardė)</w:t>
      </w:r>
    </w:p>
    <w:p w:rsidR="0074548F" w:rsidRDefault="008324B0">
      <w:pPr>
        <w:tabs>
          <w:tab w:val="right" w:leader="underscore" w:pos="9072"/>
        </w:tabs>
        <w:suppressAutoHyphens/>
        <w:jc w:val="both"/>
        <w:textAlignment w:val="baseline"/>
        <w:rPr>
          <w:szCs w:val="24"/>
        </w:rPr>
      </w:pPr>
      <w:r>
        <w:rPr>
          <w:szCs w:val="24"/>
        </w:rPr>
        <w:t>3.</w:t>
      </w:r>
      <w:r>
        <w:rPr>
          <w:szCs w:val="24"/>
        </w:rPr>
        <w:tab/>
      </w:r>
    </w:p>
    <w:p w:rsidR="0074548F" w:rsidRDefault="008324B0">
      <w:pPr>
        <w:tabs>
          <w:tab w:val="right" w:leader="underscore" w:pos="9072"/>
        </w:tabs>
        <w:suppressAutoHyphens/>
        <w:ind w:firstLine="4111"/>
        <w:textAlignment w:val="baseline"/>
        <w:rPr>
          <w:sz w:val="20"/>
        </w:rPr>
      </w:pPr>
      <w:r>
        <w:rPr>
          <w:sz w:val="20"/>
        </w:rPr>
        <w:t>(vardas, pavardė)</w:t>
      </w:r>
    </w:p>
    <w:p w:rsidR="0074548F" w:rsidRDefault="008324B0">
      <w:pPr>
        <w:tabs>
          <w:tab w:val="right" w:leader="underscore" w:pos="9072"/>
        </w:tabs>
        <w:suppressAutoHyphens/>
        <w:jc w:val="both"/>
        <w:textAlignment w:val="baseline"/>
        <w:rPr>
          <w:szCs w:val="24"/>
        </w:rPr>
      </w:pPr>
      <w:r>
        <w:rPr>
          <w:szCs w:val="24"/>
        </w:rPr>
        <w:t>4.</w:t>
      </w:r>
      <w:r>
        <w:rPr>
          <w:szCs w:val="24"/>
        </w:rPr>
        <w:tab/>
      </w:r>
    </w:p>
    <w:p w:rsidR="0074548F" w:rsidRDefault="008324B0">
      <w:pPr>
        <w:tabs>
          <w:tab w:val="right" w:leader="underscore" w:pos="9072"/>
        </w:tabs>
        <w:suppressAutoHyphens/>
        <w:ind w:firstLine="4111"/>
        <w:textAlignment w:val="baseline"/>
        <w:rPr>
          <w:sz w:val="20"/>
        </w:rPr>
      </w:pPr>
      <w:r>
        <w:rPr>
          <w:sz w:val="20"/>
        </w:rPr>
        <w:t>(vardas, pavardė)</w:t>
      </w:r>
    </w:p>
    <w:p w:rsidR="0074548F" w:rsidRDefault="008324B0">
      <w:pPr>
        <w:tabs>
          <w:tab w:val="right" w:leader="underscore" w:pos="9072"/>
        </w:tabs>
        <w:suppressAutoHyphens/>
        <w:jc w:val="both"/>
        <w:textAlignment w:val="baseline"/>
        <w:rPr>
          <w:szCs w:val="24"/>
        </w:rPr>
      </w:pPr>
      <w:r>
        <w:rPr>
          <w:szCs w:val="24"/>
        </w:rPr>
        <w:t>5.</w:t>
      </w:r>
      <w:r>
        <w:rPr>
          <w:szCs w:val="24"/>
        </w:rPr>
        <w:tab/>
        <w:t>,</w:t>
      </w:r>
    </w:p>
    <w:p w:rsidR="0074548F" w:rsidRDefault="008324B0">
      <w:pPr>
        <w:tabs>
          <w:tab w:val="right" w:leader="underscore" w:pos="9072"/>
        </w:tabs>
        <w:suppressAutoHyphens/>
        <w:ind w:firstLine="4111"/>
        <w:textAlignment w:val="baseline"/>
      </w:pPr>
      <w:r>
        <w:rPr>
          <w:sz w:val="20"/>
        </w:rPr>
        <w:t>(vardas, pavardė)</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
        <w:rPr>
          <w:rFonts w:eastAsia="Calibri"/>
          <w:sz w:val="22"/>
          <w:szCs w:val="24"/>
        </w:rPr>
        <w:t>dalyvaujant  pareiškėjui (-ams)_________________________________________________________,</w:t>
      </w:r>
    </w:p>
    <w:p w:rsidR="0074548F" w:rsidRDefault="008324B0">
      <w:pPr>
        <w:tabs>
          <w:tab w:val="right" w:leader="underscore" w:pos="9072"/>
        </w:tabs>
        <w:suppressAutoHyphens/>
        <w:ind w:firstLine="4111"/>
        <w:textAlignment w:val="baseline"/>
        <w:rPr>
          <w:sz w:val="20"/>
        </w:rPr>
      </w:pPr>
      <w:r>
        <w:rPr>
          <w:sz w:val="20"/>
        </w:rPr>
        <w:t>(vardas, pavardė)</w:t>
      </w:r>
    </w:p>
    <w:p w:rsidR="0074548F" w:rsidRDefault="008324B0">
      <w:pPr>
        <w:tabs>
          <w:tab w:val="right" w:leader="underscore" w:pos="9072"/>
        </w:tabs>
        <w:suppressAutoHyphens/>
        <w:jc w:val="both"/>
        <w:textAlignment w:val="baseline"/>
        <w:rPr>
          <w:szCs w:val="24"/>
        </w:rPr>
      </w:pPr>
      <w:r>
        <w:rPr>
          <w:szCs w:val="24"/>
        </w:rPr>
        <w:t>medžioklės plotų naudotojo atstovui (-ams) ________________________________________</w:t>
      </w:r>
    </w:p>
    <w:p w:rsidR="0074548F" w:rsidRDefault="008324B0">
      <w:pPr>
        <w:tabs>
          <w:tab w:val="right" w:leader="underscore" w:pos="9072"/>
        </w:tabs>
        <w:suppressAutoHyphens/>
        <w:ind w:firstLine="4876"/>
        <w:jc w:val="both"/>
        <w:textAlignment w:val="baseline"/>
        <w:rPr>
          <w:sz w:val="20"/>
        </w:rPr>
      </w:pPr>
      <w:r>
        <w:rPr>
          <w:sz w:val="20"/>
        </w:rPr>
        <w:t>(medžioklės plotų naudotojo pavadinimas)</w:t>
      </w:r>
    </w:p>
    <w:p w:rsidR="0074548F" w:rsidRDefault="008324B0">
      <w:pPr>
        <w:tabs>
          <w:tab w:val="left" w:pos="5000"/>
          <w:tab w:val="right" w:leader="underscore" w:pos="9072"/>
        </w:tabs>
        <w:suppressAutoHyphens/>
        <w:textAlignment w:val="baseline"/>
        <w:rPr>
          <w:szCs w:val="24"/>
        </w:rPr>
      </w:pPr>
      <w:r>
        <w:rPr>
          <w:szCs w:val="24"/>
        </w:rPr>
        <w:t>_______________________</w:t>
      </w:r>
      <w:r>
        <w:rPr>
          <w:szCs w:val="24"/>
        </w:rPr>
        <w:t>____________________________________________________,</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111"/>
        <w:textAlignment w:val="baseline"/>
        <w:rPr>
          <w:sz w:val="20"/>
        </w:rPr>
      </w:pPr>
      <w:r>
        <w:rPr>
          <w:sz w:val="20"/>
        </w:rPr>
        <w:t>(vardas, pavardė)</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0"/>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r>
        <w:rPr>
          <w:szCs w:val="24"/>
        </w:rPr>
        <w:t>apžiūrėjome vietoje medžiojamųjų gyvūnų padarytą žalą (žemės ūkio pasėliams, miškui, ūkiniams gyvūnams, hidrotechnikos įrenginiams):</w:t>
      </w:r>
    </w:p>
    <w:p w:rsidR="0074548F" w:rsidRDefault="008324B0">
      <w:pPr>
        <w:tabs>
          <w:tab w:val="left" w:pos="4300"/>
        </w:tabs>
        <w:suppressAutoHyphens/>
        <w:ind w:firstLine="424"/>
        <w:textAlignment w:val="baseline"/>
        <w:rPr>
          <w:sz w:val="20"/>
        </w:rPr>
      </w:pPr>
      <w:r>
        <w:rPr>
          <w:sz w:val="20"/>
        </w:rPr>
        <w:t>(kas netinka, išbraukti)</w:t>
      </w:r>
    </w:p>
    <w:p w:rsidR="0074548F" w:rsidRDefault="0074548F">
      <w:pPr>
        <w:tabs>
          <w:tab w:val="left" w:pos="4300"/>
        </w:tabs>
        <w:suppressAutoHyphens/>
        <w:jc w:val="center"/>
        <w:textAlignment w:val="baseline"/>
        <w:rPr>
          <w:sz w:val="20"/>
        </w:rPr>
      </w:pPr>
    </w:p>
    <w:p w:rsidR="0074548F" w:rsidRDefault="008324B0">
      <w:pPr>
        <w:tabs>
          <w:tab w:val="right" w:leader="underscore" w:pos="9072"/>
        </w:tabs>
        <w:suppressAutoHyphens/>
        <w:jc w:val="both"/>
        <w:textAlignment w:val="baseline"/>
        <w:rPr>
          <w:szCs w:val="24"/>
        </w:rPr>
      </w:pPr>
      <w:r>
        <w:rPr>
          <w:szCs w:val="24"/>
        </w:rPr>
        <w:t>1.</w:t>
      </w:r>
      <w:r>
        <w:rPr>
          <w:szCs w:val="24"/>
        </w:rPr>
        <w:tab/>
      </w:r>
      <w:r>
        <w:rPr>
          <w:szCs w:val="24"/>
        </w:rPr>
        <w:t xml:space="preserve">, bendras plotas ________ha, pažeidimas nustatytas ______ha plote, </w:t>
      </w:r>
    </w:p>
    <w:p w:rsidR="0074548F" w:rsidRDefault="008324B0">
      <w:pPr>
        <w:tabs>
          <w:tab w:val="left" w:pos="1500"/>
        </w:tabs>
        <w:suppressAutoHyphens/>
        <w:ind w:firstLine="600"/>
        <w:jc w:val="both"/>
        <w:textAlignment w:val="baseline"/>
        <w:rPr>
          <w:sz w:val="20"/>
        </w:rPr>
      </w:pPr>
      <w:r>
        <w:rPr>
          <w:sz w:val="20"/>
        </w:rPr>
        <w:t>(pavadinimas)</w:t>
      </w:r>
    </w:p>
    <w:p w:rsidR="0074548F" w:rsidRDefault="0074548F">
      <w:pPr>
        <w:tabs>
          <w:tab w:val="left" w:pos="1500"/>
        </w:tabs>
        <w:suppressAutoHyphens/>
        <w:jc w:val="both"/>
        <w:textAlignment w:val="baseline"/>
        <w:rPr>
          <w:sz w:val="20"/>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r>
        <w:rPr>
          <w:szCs w:val="24"/>
        </w:rPr>
        <w:t>sunaikinta _______ procentų  arba  ____________ha.</w:t>
      </w:r>
    </w:p>
    <w:p w:rsidR="0074548F" w:rsidRDefault="0074548F">
      <w:pPr>
        <w:tabs>
          <w:tab w:val="right" w:leader="underscore" w:pos="9638"/>
        </w:tabs>
        <w:suppressAutoHyphens/>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2.</w:t>
      </w:r>
      <w:r>
        <w:rPr>
          <w:szCs w:val="24"/>
        </w:rPr>
        <w:tab/>
        <w:t xml:space="preserve">, bendras plotas ________ha, pažeidimas nustatytas ______ha plote, </w:t>
      </w:r>
    </w:p>
    <w:p w:rsidR="0074548F" w:rsidRDefault="008324B0">
      <w:pPr>
        <w:tabs>
          <w:tab w:val="left" w:pos="1700"/>
        </w:tabs>
        <w:suppressAutoHyphens/>
        <w:ind w:firstLine="660"/>
        <w:jc w:val="both"/>
        <w:textAlignment w:val="baseline"/>
      </w:pPr>
      <w:r>
        <w:rPr>
          <w:sz w:val="20"/>
        </w:rPr>
        <w:t>(pavadinimas</w:t>
      </w:r>
      <w:r>
        <w:t>)</w:t>
      </w:r>
    </w:p>
    <w:p w:rsidR="0074548F" w:rsidRDefault="0074548F">
      <w:pPr>
        <w:tabs>
          <w:tab w:val="left" w:pos="1700"/>
        </w:tabs>
        <w:suppressAutoHyphens/>
        <w:jc w:val="both"/>
        <w:textAlignment w:val="baseline"/>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r>
        <w:rPr>
          <w:szCs w:val="24"/>
        </w:rPr>
        <w:t>sunaikinta ______ procentų  arba _________ha.</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74548F">
      <w:pPr>
        <w:tabs>
          <w:tab w:val="right" w:leader="underscore" w:pos="9638"/>
        </w:tabs>
        <w:suppressAutoHyphens/>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Bendras žemės ūkio pasėlio, miško, ūkinių gyvūnų būklės įvertinimas vietoje</w:t>
      </w:r>
      <w:r>
        <w:rPr>
          <w:szCs w:val="24"/>
        </w:rPr>
        <w:tab/>
      </w:r>
    </w:p>
    <w:p w:rsidR="0074548F" w:rsidRDefault="008324B0">
      <w:pPr>
        <w:tabs>
          <w:tab w:val="left" w:pos="2500"/>
        </w:tabs>
        <w:suppressAutoHyphens/>
        <w:ind w:firstLine="2500"/>
        <w:jc w:val="both"/>
        <w:textAlignment w:val="baseline"/>
        <w:rPr>
          <w:sz w:val="20"/>
        </w:rPr>
      </w:pPr>
      <w:r>
        <w:rPr>
          <w:sz w:val="20"/>
        </w:rPr>
        <w:t>(kas netinka, išbraukti)</w:t>
      </w:r>
    </w:p>
    <w:p w:rsidR="0074548F" w:rsidRDefault="008324B0">
      <w:pPr>
        <w:tabs>
          <w:tab w:val="right" w:leader="underscore" w:pos="9072"/>
        </w:tabs>
        <w:suppressAutoHyphens/>
        <w:textAlignment w:val="baseline"/>
      </w:pPr>
      <w:r>
        <w:rPr>
          <w:sz w:val="20"/>
        </w:rPr>
        <w:tab/>
      </w:r>
    </w:p>
    <w:p w:rsidR="0074548F" w:rsidRDefault="008324B0">
      <w:pPr>
        <w:tabs>
          <w:tab w:val="right" w:leader="underscore" w:pos="9072"/>
        </w:tabs>
        <w:suppressAutoHyphens/>
        <w:spacing w:line="360" w:lineRule="auto"/>
        <w:textAlignment w:val="baseline"/>
        <w:rPr>
          <w:szCs w:val="24"/>
        </w:rPr>
      </w:pPr>
      <w:r>
        <w:rPr>
          <w:szCs w:val="24"/>
        </w:rPr>
        <w:tab/>
        <w:t>.</w:t>
      </w:r>
    </w:p>
    <w:p w:rsidR="0074548F" w:rsidRDefault="008324B0">
      <w:pPr>
        <w:tabs>
          <w:tab w:val="right" w:leader="underscore" w:pos="9638"/>
        </w:tabs>
        <w:suppressAutoHyphens/>
        <w:spacing w:line="360" w:lineRule="auto"/>
        <w:jc w:val="both"/>
        <w:textAlignment w:val="baseline"/>
        <w:rPr>
          <w:szCs w:val="24"/>
        </w:rPr>
      </w:pPr>
      <w:r>
        <w:rPr>
          <w:szCs w:val="24"/>
        </w:rPr>
        <w:lastRenderedPageBreak/>
        <w:t>Ūkiniai gyvūnai buvo apsaugoti šiomis prevencinėmis priemonėmis:</w:t>
      </w:r>
    </w:p>
    <w:p w:rsidR="0074548F" w:rsidRDefault="008324B0">
      <w:pPr>
        <w:tabs>
          <w:tab w:val="right" w:leader="underscore" w:pos="9638"/>
        </w:tabs>
        <w:suppressAutoHyphens/>
        <w:spacing w:line="360" w:lineRule="auto"/>
        <w:jc w:val="both"/>
        <w:textAlignment w:val="baseline"/>
        <w:rPr>
          <w:szCs w:val="24"/>
        </w:rPr>
      </w:pPr>
      <w:r>
        <w:rPr>
          <w:szCs w:val="24"/>
        </w:rPr>
        <w:t>____________________________________</w:t>
      </w:r>
      <w:r>
        <w:rPr>
          <w:szCs w:val="24"/>
        </w:rPr>
        <w:t>_______________________________________ .</w:t>
      </w:r>
    </w:p>
    <w:p w:rsidR="0074548F" w:rsidRDefault="0074548F">
      <w:pPr>
        <w:tabs>
          <w:tab w:val="right" w:leader="underscore" w:pos="9638"/>
        </w:tabs>
        <w:suppressAutoHyphens/>
        <w:spacing w:line="360" w:lineRule="auto"/>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ab/>
        <w:t xml:space="preserve"> savivaldybės komisija medžiojamųjų gyvūnų padarytai žalai įvertinti:</w:t>
      </w:r>
    </w:p>
    <w:p w:rsidR="0074548F" w:rsidRDefault="008324B0">
      <w:pPr>
        <w:tabs>
          <w:tab w:val="right" w:leader="underscore" w:pos="9072"/>
        </w:tabs>
        <w:suppressAutoHyphens/>
        <w:jc w:val="both"/>
        <w:textAlignment w:val="baseline"/>
        <w:rPr>
          <w:szCs w:val="24"/>
        </w:rPr>
      </w:pPr>
      <w:r>
        <w:rPr>
          <w:szCs w:val="24"/>
        </w:rPr>
        <w:t>1.</w:t>
      </w:r>
      <w:r>
        <w:rPr>
          <w:szCs w:val="24"/>
        </w:rPr>
        <w:tab/>
      </w:r>
    </w:p>
    <w:p w:rsidR="0074548F" w:rsidRDefault="008324B0">
      <w:pPr>
        <w:tabs>
          <w:tab w:val="right" w:pos="6120"/>
          <w:tab w:val="right" w:leader="underscore" w:pos="9072"/>
        </w:tabs>
        <w:suppressAutoHyphens/>
        <w:ind w:left="1077"/>
        <w:jc w:val="both"/>
        <w:textAlignment w:val="baseline"/>
      </w:pPr>
      <w:r>
        <w:rPr>
          <w:szCs w:val="24"/>
        </w:rPr>
        <w:t>(</w:t>
      </w:r>
      <w:r>
        <w:rPr>
          <w:sz w:val="20"/>
        </w:rPr>
        <w:t>vardas, pavardė)</w:t>
      </w:r>
      <w:r>
        <w:rPr>
          <w:sz w:val="20"/>
        </w:rPr>
        <w:tab/>
        <w:t>(parašas)</w:t>
      </w:r>
    </w:p>
    <w:p w:rsidR="0074548F" w:rsidRDefault="008324B0">
      <w:pPr>
        <w:tabs>
          <w:tab w:val="right" w:leader="underscore" w:pos="9072"/>
        </w:tabs>
        <w:suppressAutoHyphens/>
        <w:jc w:val="both"/>
        <w:textAlignment w:val="baseline"/>
        <w:rPr>
          <w:szCs w:val="24"/>
        </w:rPr>
      </w:pPr>
      <w:r>
        <w:rPr>
          <w:szCs w:val="24"/>
        </w:rPr>
        <w:t>2.</w:t>
      </w:r>
      <w:r>
        <w:rPr>
          <w:szCs w:val="24"/>
        </w:rPr>
        <w:tab/>
      </w:r>
    </w:p>
    <w:p w:rsidR="0074548F" w:rsidRDefault="008324B0">
      <w:pPr>
        <w:tabs>
          <w:tab w:val="right" w:pos="6120"/>
          <w:tab w:val="right" w:leader="underscore" w:pos="9072"/>
        </w:tabs>
        <w:suppressAutoHyphens/>
        <w:ind w:left="1080"/>
        <w:jc w:val="both"/>
        <w:textAlignment w:val="baseline"/>
        <w:rPr>
          <w:sz w:val="20"/>
        </w:rPr>
      </w:pPr>
      <w:r>
        <w:rPr>
          <w:sz w:val="20"/>
        </w:rPr>
        <w:t>(vardas, pavardė)</w:t>
      </w:r>
      <w:r>
        <w:rPr>
          <w:sz w:val="20"/>
        </w:rPr>
        <w:tab/>
        <w:t>(parašas)</w:t>
      </w:r>
    </w:p>
    <w:p w:rsidR="0074548F" w:rsidRDefault="008324B0">
      <w:pPr>
        <w:tabs>
          <w:tab w:val="right" w:leader="underscore" w:pos="9072"/>
        </w:tabs>
        <w:suppressAutoHyphens/>
        <w:jc w:val="both"/>
        <w:textAlignment w:val="baseline"/>
        <w:rPr>
          <w:szCs w:val="24"/>
        </w:rPr>
      </w:pPr>
      <w:r>
        <w:rPr>
          <w:szCs w:val="24"/>
        </w:rPr>
        <w:t>3.</w:t>
      </w:r>
      <w:r>
        <w:rPr>
          <w:szCs w:val="24"/>
        </w:rPr>
        <w:tab/>
      </w:r>
    </w:p>
    <w:p w:rsidR="0074548F" w:rsidRDefault="008324B0">
      <w:pPr>
        <w:tabs>
          <w:tab w:val="right" w:pos="6120"/>
          <w:tab w:val="right" w:leader="underscore" w:pos="9072"/>
        </w:tabs>
        <w:suppressAutoHyphens/>
        <w:ind w:left="1080"/>
        <w:jc w:val="both"/>
        <w:textAlignment w:val="baseline"/>
        <w:rPr>
          <w:sz w:val="20"/>
        </w:rPr>
      </w:pPr>
      <w:r>
        <w:rPr>
          <w:sz w:val="20"/>
        </w:rPr>
        <w:t>(vardas, pavardė)</w:t>
      </w:r>
      <w:r>
        <w:rPr>
          <w:sz w:val="20"/>
        </w:rPr>
        <w:tab/>
        <w:t>(parašas)</w:t>
      </w:r>
    </w:p>
    <w:p w:rsidR="0074548F" w:rsidRDefault="008324B0">
      <w:pPr>
        <w:tabs>
          <w:tab w:val="right" w:leader="underscore" w:pos="9072"/>
        </w:tabs>
        <w:suppressAutoHyphens/>
        <w:jc w:val="both"/>
        <w:textAlignment w:val="baseline"/>
        <w:rPr>
          <w:szCs w:val="24"/>
        </w:rPr>
      </w:pPr>
      <w:r>
        <w:rPr>
          <w:szCs w:val="24"/>
        </w:rPr>
        <w:t>4.</w:t>
      </w:r>
      <w:r>
        <w:rPr>
          <w:szCs w:val="24"/>
        </w:rPr>
        <w:tab/>
      </w:r>
    </w:p>
    <w:p w:rsidR="0074548F" w:rsidRDefault="008324B0">
      <w:pPr>
        <w:tabs>
          <w:tab w:val="right" w:pos="6120"/>
          <w:tab w:val="right" w:leader="underscore" w:pos="9072"/>
        </w:tabs>
        <w:suppressAutoHyphens/>
        <w:ind w:left="1080"/>
        <w:jc w:val="both"/>
        <w:textAlignment w:val="baseline"/>
        <w:rPr>
          <w:sz w:val="20"/>
        </w:rPr>
      </w:pPr>
      <w:r>
        <w:rPr>
          <w:sz w:val="20"/>
        </w:rPr>
        <w:t>(vardas, pavardė)</w:t>
      </w:r>
      <w:r>
        <w:rPr>
          <w:sz w:val="20"/>
        </w:rPr>
        <w:tab/>
        <w:t>(parašas)</w:t>
      </w:r>
    </w:p>
    <w:p w:rsidR="0074548F" w:rsidRDefault="008324B0">
      <w:pPr>
        <w:tabs>
          <w:tab w:val="right" w:leader="underscore" w:pos="9072"/>
        </w:tabs>
        <w:suppressAutoHyphens/>
        <w:jc w:val="both"/>
        <w:textAlignment w:val="baseline"/>
        <w:rPr>
          <w:szCs w:val="24"/>
        </w:rPr>
      </w:pPr>
      <w:r>
        <w:rPr>
          <w:szCs w:val="24"/>
        </w:rPr>
        <w:t>5.</w:t>
      </w:r>
      <w:r>
        <w:rPr>
          <w:szCs w:val="24"/>
        </w:rPr>
        <w:tab/>
        <w:t>.</w:t>
      </w:r>
    </w:p>
    <w:p w:rsidR="0074548F" w:rsidRDefault="008324B0">
      <w:pPr>
        <w:tabs>
          <w:tab w:val="right" w:pos="6120"/>
          <w:tab w:val="right" w:leader="underscore" w:pos="9072"/>
        </w:tabs>
        <w:suppressAutoHyphens/>
        <w:ind w:left="1080"/>
        <w:jc w:val="both"/>
        <w:textAlignment w:val="baseline"/>
        <w:rPr>
          <w:sz w:val="20"/>
        </w:rPr>
      </w:pPr>
      <w:r>
        <w:rPr>
          <w:sz w:val="20"/>
        </w:rPr>
        <w:t xml:space="preserve">(vardas, </w:t>
      </w:r>
      <w:r>
        <w:rPr>
          <w:sz w:val="20"/>
        </w:rPr>
        <w:t>pavardė)</w:t>
      </w:r>
      <w:r>
        <w:rPr>
          <w:sz w:val="20"/>
        </w:rPr>
        <w:tab/>
        <w:t>(parašas)</w:t>
      </w:r>
    </w:p>
    <w:p w:rsidR="0074548F" w:rsidRDefault="0074548F">
      <w:pPr>
        <w:tabs>
          <w:tab w:val="right" w:leader="underscore" w:pos="9072"/>
        </w:tabs>
        <w:suppressAutoHyphens/>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Kiti dalyvavę asmenys:</w:t>
      </w:r>
    </w:p>
    <w:p w:rsidR="0074548F" w:rsidRDefault="0074548F">
      <w:pPr>
        <w:tabs>
          <w:tab w:val="right" w:leader="underscore" w:pos="9072"/>
        </w:tabs>
        <w:suppressAutoHyphens/>
        <w:jc w:val="both"/>
        <w:textAlignment w:val="baseline"/>
        <w:rPr>
          <w:szCs w:val="24"/>
        </w:rPr>
      </w:pPr>
    </w:p>
    <w:p w:rsidR="0074548F" w:rsidRDefault="008324B0">
      <w:pPr>
        <w:tabs>
          <w:tab w:val="right" w:leader="underscore" w:pos="9072"/>
        </w:tabs>
        <w:suppressAutoHyphens/>
        <w:jc w:val="both"/>
        <w:textAlignment w:val="baseline"/>
        <w:rPr>
          <w:szCs w:val="24"/>
        </w:rPr>
      </w:pPr>
      <w:r>
        <w:rPr>
          <w:szCs w:val="24"/>
        </w:rPr>
        <w:t>Sutinku / nesutinku su vietoje įvertinta medžiojamųjų gyvūnų padaryta žala</w:t>
      </w:r>
    </w:p>
    <w:p w:rsidR="0074548F" w:rsidRDefault="008324B0">
      <w:pPr>
        <w:tabs>
          <w:tab w:val="right" w:leader="underscore" w:pos="9072"/>
        </w:tabs>
        <w:suppressAutoHyphens/>
        <w:jc w:val="both"/>
        <w:textAlignment w:val="baseline"/>
        <w:rPr>
          <w:sz w:val="20"/>
        </w:rPr>
      </w:pPr>
      <w:r>
        <w:rPr>
          <w:sz w:val="20"/>
        </w:rPr>
        <w:t>(kas netinka, išbraukti)</w:t>
      </w:r>
    </w:p>
    <w:p w:rsidR="0074548F" w:rsidRDefault="0074548F">
      <w:pPr>
        <w:tabs>
          <w:tab w:val="right" w:leader="underscore" w:pos="9072"/>
        </w:tabs>
        <w:suppressAutoHyphens/>
        <w:jc w:val="both"/>
        <w:textAlignment w:val="baseline"/>
        <w:rPr>
          <w:sz w:val="20"/>
        </w:rPr>
      </w:pPr>
    </w:p>
    <w:p w:rsidR="0074548F" w:rsidRDefault="008324B0">
      <w:pPr>
        <w:tabs>
          <w:tab w:val="right" w:leader="underscore" w:pos="9072"/>
        </w:tabs>
        <w:suppressAutoHyphens/>
        <w:ind w:firstLine="62"/>
        <w:jc w:val="both"/>
        <w:textAlignment w:val="baseline"/>
        <w:rPr>
          <w:szCs w:val="24"/>
        </w:rPr>
      </w:pPr>
      <w:r>
        <w:rPr>
          <w:szCs w:val="24"/>
        </w:rPr>
        <w:t>(žemės ūkio pasėliams, miškui, ūkiniams gyvūnams, hidrotechnikos įrenginiams)</w:t>
      </w:r>
    </w:p>
    <w:p w:rsidR="0074548F" w:rsidRDefault="008324B0">
      <w:pPr>
        <w:tabs>
          <w:tab w:val="right" w:leader="underscore" w:pos="9072"/>
        </w:tabs>
        <w:suppressAutoHyphens/>
        <w:ind w:firstLine="3828"/>
        <w:textAlignment w:val="baseline"/>
        <w:rPr>
          <w:sz w:val="20"/>
        </w:rPr>
      </w:pPr>
      <w:r>
        <w:rPr>
          <w:sz w:val="20"/>
        </w:rPr>
        <w:t>(kas netinka, išbraukti)</w:t>
      </w:r>
    </w:p>
    <w:p w:rsidR="0074548F" w:rsidRDefault="008324B0">
      <w:pPr>
        <w:tabs>
          <w:tab w:val="right" w:leader="underscore" w:pos="9072"/>
        </w:tabs>
        <w:suppressAutoHyphens/>
        <w:jc w:val="both"/>
        <w:textAlignment w:val="baseline"/>
      </w:pPr>
      <w:r>
        <w:rPr>
          <w:szCs w:val="24"/>
        </w:rPr>
        <w:tab/>
        <w:t>.</w:t>
      </w:r>
    </w:p>
    <w:p w:rsidR="0074548F" w:rsidRDefault="008324B0">
      <w:pPr>
        <w:tabs>
          <w:tab w:val="right" w:pos="6120"/>
          <w:tab w:val="right" w:leader="underscore" w:pos="9072"/>
        </w:tabs>
        <w:suppressAutoHyphens/>
        <w:ind w:left="1080"/>
        <w:jc w:val="both"/>
        <w:textAlignment w:val="baseline"/>
        <w:rPr>
          <w:sz w:val="20"/>
        </w:rPr>
      </w:pPr>
      <w:r>
        <w:rPr>
          <w:sz w:val="20"/>
        </w:rPr>
        <w:t>(vard</w:t>
      </w:r>
      <w:r>
        <w:rPr>
          <w:sz w:val="20"/>
        </w:rPr>
        <w:t>as, pavardė)</w:t>
      </w:r>
      <w:r>
        <w:rPr>
          <w:sz w:val="20"/>
        </w:rPr>
        <w:tab/>
        <w:t>(parašas)</w:t>
      </w:r>
    </w:p>
    <w:p w:rsidR="0074548F" w:rsidRDefault="0074548F">
      <w:pPr>
        <w:tabs>
          <w:tab w:val="right" w:leader="underscore" w:pos="9072"/>
        </w:tabs>
        <w:suppressAutoHyphens/>
        <w:jc w:val="both"/>
        <w:textAlignment w:val="baseline"/>
        <w:rPr>
          <w:sz w:val="20"/>
        </w:rPr>
      </w:pP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r>
        <w:rPr>
          <w:szCs w:val="24"/>
        </w:rPr>
        <w:t xml:space="preserve">Medžioklės plotų naudotojo atstovas sutinka / nesutinka, kad žalą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828"/>
        <w:textAlignment w:val="baseline"/>
        <w:rPr>
          <w:sz w:val="20"/>
        </w:rPr>
      </w:pPr>
      <w:r>
        <w:rPr>
          <w:sz w:val="20"/>
        </w:rPr>
        <w:t>(kas netinka, išbraukti)</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r>
        <w:rPr>
          <w:szCs w:val="24"/>
        </w:rPr>
        <w:t xml:space="preserve">(žemės ūkio pasėliams, miškui, ūkiniams gyvūnams, hidrotechnikos įrenginiams)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828"/>
        <w:textAlignment w:val="baseline"/>
        <w:rPr>
          <w:sz w:val="20"/>
        </w:rPr>
      </w:pPr>
      <w:r>
        <w:rPr>
          <w:sz w:val="20"/>
        </w:rPr>
        <w:t>(kas netinka, išbraukti)</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Cs w:val="24"/>
        </w:rPr>
      </w:pPr>
      <w:r>
        <w:rPr>
          <w:szCs w:val="24"/>
        </w:rPr>
        <w:t>padarė šie medžiojamieji gyvūnai</w:t>
      </w:r>
      <w:r>
        <w:rPr>
          <w:szCs w:val="24"/>
        </w:rPr>
        <w:t xml:space="preserve"> −</w:t>
      </w:r>
      <w:r>
        <w:rPr>
          <w:szCs w:val="24"/>
        </w:rPr>
        <w:tab/>
        <w:t>______________________________________________</w:t>
      </w:r>
    </w:p>
    <w:p w:rsidR="0074548F" w:rsidRDefault="0074548F">
      <w:pPr>
        <w:tabs>
          <w:tab w:val="right" w:leader="underscore" w:pos="9072"/>
        </w:tabs>
        <w:suppressAutoHyphens/>
        <w:jc w:val="both"/>
        <w:textAlignment w:val="baseline"/>
        <w:rPr>
          <w:szCs w:val="24"/>
        </w:rPr>
      </w:pPr>
    </w:p>
    <w:p w:rsidR="0074548F" w:rsidRDefault="0074548F">
      <w:pPr>
        <w:tabs>
          <w:tab w:val="right" w:leader="underscore" w:pos="9072"/>
        </w:tabs>
        <w:suppressAutoHyphens/>
        <w:jc w:val="both"/>
        <w:textAlignment w:val="baseline"/>
        <w:rPr>
          <w:szCs w:val="24"/>
        </w:rPr>
      </w:pPr>
    </w:p>
    <w:p w:rsidR="0074548F" w:rsidRDefault="008324B0">
      <w:pPr>
        <w:tabs>
          <w:tab w:val="left" w:pos="1134"/>
        </w:tabs>
        <w:overflowPunct w:val="0"/>
        <w:jc w:val="both"/>
        <w:textAlignment w:val="baseline"/>
        <w:rPr>
          <w:sz w:val="20"/>
        </w:rPr>
      </w:pPr>
      <w:r>
        <w:rPr>
          <w:sz w:val="20"/>
        </w:rPr>
        <w:t xml:space="preserve">___________________________________________________________________________________________.     </w:t>
      </w:r>
    </w:p>
    <w:p w:rsidR="0074548F" w:rsidRDefault="008324B0">
      <w:pPr>
        <w:tabs>
          <w:tab w:val="left" w:pos="1134"/>
        </w:tabs>
        <w:overflowPunct w:val="0"/>
        <w:ind w:left="720" w:firstLine="318"/>
        <w:jc w:val="both"/>
        <w:textAlignment w:val="baseline"/>
        <w:rPr>
          <w:color w:val="000000"/>
        </w:rPr>
      </w:pPr>
      <w:r>
        <w:rPr>
          <w:sz w:val="20"/>
        </w:rPr>
        <w:t xml:space="preserve">(vardas, pavardė)                                                           </w:t>
      </w:r>
      <w:r>
        <w:t xml:space="preserve"> </w:t>
      </w:r>
      <w:r>
        <w:rPr>
          <w:sz w:val="20"/>
        </w:rPr>
        <w:t>(parašas)</w:t>
      </w:r>
    </w:p>
    <w:p w:rsidR="0074548F" w:rsidRDefault="008324B0">
      <w:pPr>
        <w:rPr>
          <w:rFonts w:eastAsia="MS Mincho"/>
          <w:i/>
          <w:iCs/>
          <w:sz w:val="20"/>
        </w:rPr>
      </w:pPr>
      <w:r>
        <w:rPr>
          <w:rFonts w:eastAsia="MS Mincho"/>
          <w:i/>
          <w:iCs/>
          <w:sz w:val="20"/>
        </w:rPr>
        <w:t>Priedo pakeitimai:</w:t>
      </w:r>
    </w:p>
    <w:p w:rsidR="0074548F" w:rsidRDefault="008324B0">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D1-69/3D-36</w:t>
        </w:r>
      </w:hyperlink>
      <w:r>
        <w:rPr>
          <w:rFonts w:eastAsia="MS Mincho"/>
          <w:i/>
          <w:iCs/>
          <w:sz w:val="20"/>
        </w:rPr>
        <w:t>, 2015-01-22, paskelbta TAR 2015-01-23, i. k. 2015-01000</w:t>
      </w:r>
    </w:p>
    <w:p w:rsidR="0074548F" w:rsidRDefault="008324B0">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D1-890/3D-745</w:t>
        </w:r>
      </w:hyperlink>
      <w:r>
        <w:rPr>
          <w:rFonts w:eastAsia="MS Mincho"/>
          <w:i/>
          <w:iCs/>
          <w:sz w:val="20"/>
        </w:rPr>
        <w:t>, 2018-10-18, paskelbta TAR 2018-10-19, i. k. 2018-16376</w:t>
      </w:r>
    </w:p>
    <w:p w:rsidR="0074548F" w:rsidRDefault="0074548F"/>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sectPr w:rsidR="0074548F">
          <w:pgSz w:w="11907" w:h="16839"/>
          <w:pgMar w:top="1134" w:right="850" w:bottom="1134" w:left="1701" w:header="567" w:footer="567" w:gutter="0"/>
          <w:pgNumType w:start="1"/>
          <w:cols w:space="1296"/>
          <w:titlePg/>
          <w:docGrid w:linePitch="360"/>
        </w:sect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lastRenderedPageBreak/>
        <w:t xml:space="preserve">Medžiojamųjų gyvūnų padarytos žalos žemės ūkio pasėliams, ūkiniams gyvūnams ir miškui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t>apskaičiavimo metodikos</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t>2 priedas</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TIKSLINIŲ RŪŠIŲ MEDŽIŲ PAŽE</w:t>
      </w:r>
      <w:r>
        <w:rPr>
          <w:b/>
          <w:szCs w:val="24"/>
        </w:rPr>
        <w:t>IDIMO LAIPSNIAI</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672"/>
        <w:gridCol w:w="1799"/>
        <w:gridCol w:w="2214"/>
        <w:gridCol w:w="2884"/>
      </w:tblGrid>
      <w:tr w:rsidR="0074548F">
        <w:tc>
          <w:tcPr>
            <w:tcW w:w="522" w:type="pct"/>
            <w:vMerge w:val="restart"/>
            <w:tcBorders>
              <w:top w:val="single" w:sz="4" w:space="0" w:color="auto"/>
              <w:left w:val="single" w:sz="4" w:space="0" w:color="auto"/>
              <w:bottom w:val="single" w:sz="4" w:space="0" w:color="auto"/>
              <w:right w:val="single" w:sz="4" w:space="0" w:color="auto"/>
            </w:tcBorders>
            <w:vAlign w:val="center"/>
            <w:hideMark/>
          </w:tcPr>
          <w:p w:rsidR="0074548F" w:rsidRDefault="008324B0">
            <w:pPr>
              <w:widowControl w:val="0"/>
              <w:jc w:val="center"/>
              <w:rPr>
                <w:szCs w:val="24"/>
              </w:rPr>
            </w:pPr>
            <w:r>
              <w:rPr>
                <w:szCs w:val="24"/>
              </w:rPr>
              <w:t>Medžių rūšys</w:t>
            </w:r>
          </w:p>
        </w:tc>
        <w:tc>
          <w:tcPr>
            <w:tcW w:w="4478" w:type="pct"/>
            <w:gridSpan w:val="4"/>
            <w:tcBorders>
              <w:top w:val="single" w:sz="4" w:space="0" w:color="auto"/>
              <w:left w:val="single" w:sz="4" w:space="0" w:color="auto"/>
              <w:bottom w:val="single" w:sz="4" w:space="0" w:color="auto"/>
              <w:right w:val="single" w:sz="4" w:space="0" w:color="auto"/>
            </w:tcBorders>
            <w:vAlign w:val="center"/>
            <w:hideMark/>
          </w:tcPr>
          <w:p w:rsidR="0074548F" w:rsidRDefault="008324B0">
            <w:pPr>
              <w:widowControl w:val="0"/>
              <w:jc w:val="center"/>
              <w:rPr>
                <w:szCs w:val="24"/>
              </w:rPr>
            </w:pPr>
            <w:r>
              <w:rPr>
                <w:szCs w:val="24"/>
              </w:rPr>
              <w:t>Pažeidimo laipsniai ir apibūdinimas</w:t>
            </w:r>
          </w:p>
        </w:tc>
      </w:tr>
      <w:tr w:rsidR="0074548F">
        <w:tc>
          <w:tcPr>
            <w:tcW w:w="0" w:type="auto"/>
            <w:vMerge/>
            <w:tcBorders>
              <w:top w:val="single" w:sz="4" w:space="0" w:color="auto"/>
              <w:left w:val="single" w:sz="4" w:space="0" w:color="auto"/>
              <w:bottom w:val="single" w:sz="4" w:space="0" w:color="auto"/>
              <w:right w:val="single" w:sz="4" w:space="0" w:color="auto"/>
            </w:tcBorders>
            <w:vAlign w:val="center"/>
            <w:hideMark/>
          </w:tcPr>
          <w:p w:rsidR="0074548F" w:rsidRDefault="0074548F">
            <w:pPr>
              <w:rPr>
                <w:szCs w:val="24"/>
              </w:rPr>
            </w:pPr>
          </w:p>
        </w:tc>
        <w:tc>
          <w:tcPr>
            <w:tcW w:w="874" w:type="pct"/>
            <w:tcBorders>
              <w:top w:val="single" w:sz="4" w:space="0" w:color="auto"/>
              <w:left w:val="single" w:sz="4" w:space="0" w:color="auto"/>
              <w:bottom w:val="single" w:sz="4" w:space="0" w:color="auto"/>
              <w:right w:val="single" w:sz="4" w:space="0" w:color="auto"/>
            </w:tcBorders>
            <w:vAlign w:val="center"/>
            <w:hideMark/>
          </w:tcPr>
          <w:p w:rsidR="0074548F" w:rsidRDefault="008324B0">
            <w:pPr>
              <w:widowControl w:val="0"/>
              <w:jc w:val="center"/>
              <w:rPr>
                <w:szCs w:val="24"/>
              </w:rPr>
            </w:pPr>
            <w:r>
              <w:rPr>
                <w:szCs w:val="24"/>
              </w:rPr>
              <w:t>sveiki ir nedaug pažeisti</w:t>
            </w:r>
          </w:p>
        </w:tc>
        <w:tc>
          <w:tcPr>
            <w:tcW w:w="940" w:type="pct"/>
            <w:tcBorders>
              <w:top w:val="single" w:sz="4" w:space="0" w:color="auto"/>
              <w:left w:val="single" w:sz="4" w:space="0" w:color="auto"/>
              <w:bottom w:val="single" w:sz="4" w:space="0" w:color="auto"/>
              <w:right w:val="single" w:sz="4" w:space="0" w:color="auto"/>
            </w:tcBorders>
            <w:vAlign w:val="center"/>
            <w:hideMark/>
          </w:tcPr>
          <w:p w:rsidR="0074548F" w:rsidRDefault="008324B0">
            <w:pPr>
              <w:widowControl w:val="0"/>
              <w:jc w:val="center"/>
              <w:rPr>
                <w:szCs w:val="24"/>
              </w:rPr>
            </w:pPr>
            <w:r>
              <w:rPr>
                <w:szCs w:val="24"/>
              </w:rPr>
              <w:t>silpnai pažeisti</w:t>
            </w:r>
          </w:p>
        </w:tc>
        <w:tc>
          <w:tcPr>
            <w:tcW w:w="1157" w:type="pct"/>
            <w:tcBorders>
              <w:top w:val="single" w:sz="4" w:space="0" w:color="auto"/>
              <w:left w:val="single" w:sz="4" w:space="0" w:color="auto"/>
              <w:bottom w:val="single" w:sz="4" w:space="0" w:color="auto"/>
              <w:right w:val="single" w:sz="4" w:space="0" w:color="auto"/>
            </w:tcBorders>
            <w:vAlign w:val="center"/>
            <w:hideMark/>
          </w:tcPr>
          <w:p w:rsidR="0074548F" w:rsidRDefault="008324B0">
            <w:pPr>
              <w:widowControl w:val="0"/>
              <w:jc w:val="center"/>
              <w:rPr>
                <w:szCs w:val="24"/>
              </w:rPr>
            </w:pPr>
            <w:r>
              <w:rPr>
                <w:szCs w:val="24"/>
              </w:rPr>
              <w:t>vidutiniškai pažeisti</w:t>
            </w:r>
          </w:p>
        </w:tc>
        <w:tc>
          <w:tcPr>
            <w:tcW w:w="1507" w:type="pct"/>
            <w:tcBorders>
              <w:top w:val="single" w:sz="4" w:space="0" w:color="auto"/>
              <w:left w:val="single" w:sz="4" w:space="0" w:color="auto"/>
              <w:bottom w:val="single" w:sz="4" w:space="0" w:color="auto"/>
              <w:right w:val="single" w:sz="4" w:space="0" w:color="auto"/>
            </w:tcBorders>
            <w:vAlign w:val="center"/>
            <w:hideMark/>
          </w:tcPr>
          <w:p w:rsidR="0074548F" w:rsidRDefault="008324B0">
            <w:pPr>
              <w:widowControl w:val="0"/>
              <w:jc w:val="center"/>
              <w:rPr>
                <w:szCs w:val="24"/>
              </w:rPr>
            </w:pPr>
            <w:r>
              <w:rPr>
                <w:szCs w:val="24"/>
              </w:rPr>
              <w:t>stipriai pažeisti ir žuvę</w:t>
            </w:r>
          </w:p>
        </w:tc>
      </w:tr>
      <w:tr w:rsidR="0074548F">
        <w:tc>
          <w:tcPr>
            <w:tcW w:w="52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both"/>
              <w:rPr>
                <w:szCs w:val="24"/>
              </w:rPr>
            </w:pPr>
            <w:r>
              <w:rPr>
                <w:szCs w:val="24"/>
              </w:rPr>
              <w:t>Pušis</w:t>
            </w:r>
          </w:p>
        </w:tc>
        <w:tc>
          <w:tcPr>
            <w:tcW w:w="874"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Nuskabyta mažiau kaip 30 %  menturinių šakučių ūglių. Žievė nepažeista</w:t>
            </w:r>
          </w:p>
        </w:tc>
        <w:tc>
          <w:tcPr>
            <w:tcW w:w="940"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 xml:space="preserve">Nuskabyta nuo 30 </w:t>
            </w:r>
            <w:r>
              <w:rPr>
                <w:szCs w:val="24"/>
              </w:rPr>
              <w:t>iki 50 % menturinių šakučių ūglių, yra pavienių iki 1 cm pločio žaizdų kamieno žievėje su tarp jų išlikusiu brazdu</w:t>
            </w:r>
          </w:p>
        </w:tc>
        <w:tc>
          <w:tcPr>
            <w:tcW w:w="115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Vieną kartą nuskabytas viršūninis ūglis ir nuo 30 iki 50 % menturinių šakučių ūglių; nuskabyta daugiau kaip 50 % menturinių šakučių ūglių, yr</w:t>
            </w:r>
            <w:r>
              <w:rPr>
                <w:szCs w:val="24"/>
              </w:rPr>
              <w:t>a ištisinių žaizdų žievėje, iki 1/3 kamieno apskritimo ilgio</w:t>
            </w:r>
          </w:p>
        </w:tc>
        <w:tc>
          <w:tcPr>
            <w:tcW w:w="150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 xml:space="preserve">2–3 kartus nuskabytas viršūninis ūglis ir nuo 30 iki 50 % menturinių šakučių ūglių. 1–3 kartus nuskabytas viršūninis ūglis ir daugiau kaip 50 % menturinių šakučių ūglių, nulaužtas kamienas (nėra </w:t>
            </w:r>
            <w:r>
              <w:rPr>
                <w:szCs w:val="24"/>
              </w:rPr>
              <w:t>prieaugio į aukštį, džiūstančios šakos, stagarai), yra ištisinių žaizdų žievėje, nuo 1/3 iki 2/3 kamieno apskritimo ilgio</w:t>
            </w:r>
          </w:p>
        </w:tc>
      </w:tr>
      <w:tr w:rsidR="0074548F">
        <w:tc>
          <w:tcPr>
            <w:tcW w:w="52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both"/>
              <w:rPr>
                <w:szCs w:val="24"/>
              </w:rPr>
            </w:pPr>
            <w:r>
              <w:rPr>
                <w:szCs w:val="24"/>
              </w:rPr>
              <w:t>Eglė</w:t>
            </w:r>
          </w:p>
        </w:tc>
        <w:tc>
          <w:tcPr>
            <w:tcW w:w="874"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 xml:space="preserve">Nuskabyta mažiau kaip 30 % menturinių šakučių ūglių, yra iki 1 cm pločio pavienių žaizdų kamieno žievėje su tarp jų išlikusiu </w:t>
            </w:r>
            <w:r>
              <w:rPr>
                <w:szCs w:val="24"/>
              </w:rPr>
              <w:t>brazdu</w:t>
            </w:r>
          </w:p>
        </w:tc>
        <w:tc>
          <w:tcPr>
            <w:tcW w:w="940"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Vieną kartą nuskabytas viršūninis ūglis ir nuo 30 iki 50 % menturinių šakučių ūglių, yra iki 5 cm pločio žaizdų kamieno žievėje</w:t>
            </w:r>
          </w:p>
        </w:tc>
        <w:tc>
          <w:tcPr>
            <w:tcW w:w="115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2 kartus nuskabytas viršūninis ūglis ir nuo 30 iki 50 % menturinių šakučių ūglių, yra nuo 5 iki 10 cm pločio žaizdų kamie</w:t>
            </w:r>
            <w:r>
              <w:rPr>
                <w:szCs w:val="24"/>
              </w:rPr>
              <w:t>no žievėje</w:t>
            </w:r>
          </w:p>
        </w:tc>
        <w:tc>
          <w:tcPr>
            <w:tcW w:w="150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3 kartus ir daugiau nuskabytas viršūninis ūglis ir daugiau kaip 50 % menturinių šakučių ūglių (nėra prieaugio į aukštį, džiūstančios šakos, stagarai), yra platesnių kaip 10 cm žaizdų kamieno žievėje</w:t>
            </w:r>
          </w:p>
        </w:tc>
      </w:tr>
      <w:tr w:rsidR="0074548F">
        <w:tc>
          <w:tcPr>
            <w:tcW w:w="52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both"/>
              <w:rPr>
                <w:szCs w:val="24"/>
              </w:rPr>
            </w:pPr>
            <w:r>
              <w:rPr>
                <w:szCs w:val="24"/>
              </w:rPr>
              <w:t>Ąžuolas</w:t>
            </w:r>
          </w:p>
        </w:tc>
        <w:tc>
          <w:tcPr>
            <w:tcW w:w="874"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Nuskabyta mažiau kaip 30 % šoninių ša</w:t>
            </w:r>
            <w:r>
              <w:rPr>
                <w:szCs w:val="24"/>
              </w:rPr>
              <w:t>kučių ūglių, yra pavienių iki 5 cm pločio žaizdų su tarp jų išlikusiu brazdu</w:t>
            </w:r>
          </w:p>
        </w:tc>
        <w:tc>
          <w:tcPr>
            <w:tcW w:w="940"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Vieną kartą nuskabytas viršūninis ūglis ir nuo 30 iki 50 % šoninių šakučių ūglių, yra ištisinių žaizdų žievėje, iki 1/3 kamieno apskritimo ilgio</w:t>
            </w:r>
          </w:p>
        </w:tc>
        <w:tc>
          <w:tcPr>
            <w:tcW w:w="115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2–3 kartus nuskabytas viršūninis ū</w:t>
            </w:r>
            <w:r>
              <w:rPr>
                <w:szCs w:val="24"/>
              </w:rPr>
              <w:t>glis ir nuo 30 iki 50 % šoninių šakučių ūglių, yra ištisinių žaizdų žievėje, nuo 1/3 iki 2/3 kamieno apskritimo ilgio</w:t>
            </w:r>
          </w:p>
        </w:tc>
        <w:tc>
          <w:tcPr>
            <w:tcW w:w="150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Daugiau kaip 3 kartus nuskabytas viršūninis ūglis ir daugiau kaip 50 % šoninių šakučių ūglių, nulaužtas kamienas (stagariukai su siūliniai</w:t>
            </w:r>
            <w:r>
              <w:rPr>
                <w:szCs w:val="24"/>
              </w:rPr>
              <w:t>s ūgliais, besikrūmijantys), yra platesnių kaip 2/3 kamieno apskritimo ilgio žaizdų žievėje</w:t>
            </w:r>
          </w:p>
        </w:tc>
      </w:tr>
      <w:tr w:rsidR="0074548F">
        <w:tc>
          <w:tcPr>
            <w:tcW w:w="52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jc w:val="both"/>
              <w:rPr>
                <w:szCs w:val="24"/>
              </w:rPr>
            </w:pPr>
            <w:r>
              <w:rPr>
                <w:szCs w:val="24"/>
              </w:rPr>
              <w:t>Drebulė</w:t>
            </w:r>
          </w:p>
        </w:tc>
        <w:tc>
          <w:tcPr>
            <w:tcW w:w="874"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 xml:space="preserve">Nuskabyta mažiau kaip 30 % šoninių šakučių ūglių. </w:t>
            </w:r>
            <w:r>
              <w:rPr>
                <w:szCs w:val="24"/>
              </w:rPr>
              <w:lastRenderedPageBreak/>
              <w:t>Žievė nepažeista</w:t>
            </w:r>
          </w:p>
        </w:tc>
        <w:tc>
          <w:tcPr>
            <w:tcW w:w="940"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lastRenderedPageBreak/>
              <w:t xml:space="preserve">Vieną kartą nuskabytas viršūninis ūglis ir nuo 30 iki 50 </w:t>
            </w:r>
            <w:r>
              <w:rPr>
                <w:szCs w:val="24"/>
              </w:rPr>
              <w:lastRenderedPageBreak/>
              <w:t xml:space="preserve">% šoninių šakučių ūglių. </w:t>
            </w:r>
            <w:r>
              <w:rPr>
                <w:szCs w:val="24"/>
              </w:rPr>
              <w:t>Pavienės iki 1 cm pločio žaizdos kamieno žievėje su tarp jų išlikusiu brazdu</w:t>
            </w:r>
          </w:p>
        </w:tc>
        <w:tc>
          <w:tcPr>
            <w:tcW w:w="115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lastRenderedPageBreak/>
              <w:t xml:space="preserve">2 kartus nuskabytas viršūninis ūglis ir nuo 50 iki 75 % šoninių šakučių </w:t>
            </w:r>
            <w:r>
              <w:rPr>
                <w:szCs w:val="24"/>
              </w:rPr>
              <w:lastRenderedPageBreak/>
              <w:t>ūglių. Nuo 1 iki 3 cm pločio žaizdos kamieno žievėje</w:t>
            </w:r>
          </w:p>
        </w:tc>
        <w:tc>
          <w:tcPr>
            <w:tcW w:w="150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lastRenderedPageBreak/>
              <w:t>3 kartus ir daugiau nuskabytas viršūninis ir daugiau k</w:t>
            </w:r>
            <w:r>
              <w:rPr>
                <w:szCs w:val="24"/>
              </w:rPr>
              <w:t xml:space="preserve">aip 75 % šoninių šakučių ūglių (be prieaugio </w:t>
            </w:r>
            <w:r>
              <w:rPr>
                <w:szCs w:val="24"/>
              </w:rPr>
              <w:lastRenderedPageBreak/>
              <w:t>į aukštį, stagarai). Platesnės kaip 3 cm žaizdos kamieno žievėje</w:t>
            </w:r>
          </w:p>
        </w:tc>
      </w:tr>
      <w:tr w:rsidR="0074548F">
        <w:tc>
          <w:tcPr>
            <w:tcW w:w="522"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lastRenderedPageBreak/>
              <w:t>Uosis, klevas ir kitos</w:t>
            </w:r>
          </w:p>
        </w:tc>
        <w:tc>
          <w:tcPr>
            <w:tcW w:w="874"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Nuskabyta mažiau kaip 30 % šoninių šakučių ūglių. Žievė nepažeista</w:t>
            </w:r>
          </w:p>
        </w:tc>
        <w:tc>
          <w:tcPr>
            <w:tcW w:w="940"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Iki 3 kartų nuskabytas viršūninis ūglis ir nuo 30 iki 5</w:t>
            </w:r>
            <w:r>
              <w:rPr>
                <w:szCs w:val="24"/>
              </w:rPr>
              <w:t>0 % šoninių šakučių ūglių, yra pavienių iki 1 cm pločio žaizdų kamieno žievėje su tarp jų išlikusiu brazdu</w:t>
            </w:r>
          </w:p>
        </w:tc>
        <w:tc>
          <w:tcPr>
            <w:tcW w:w="115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Daugiau kaip 3 kartus nuskabytas viršūninis ūglis ir nuo 50 iki 75 % menturinių šakučių ūglių, yra nuo 1 iki 3 cm pločio žaizdų kamieno žievėje</w:t>
            </w:r>
          </w:p>
        </w:tc>
        <w:tc>
          <w:tcPr>
            <w:tcW w:w="1507" w:type="pct"/>
            <w:tcBorders>
              <w:top w:val="single" w:sz="4" w:space="0" w:color="auto"/>
              <w:left w:val="single" w:sz="4" w:space="0" w:color="auto"/>
              <w:bottom w:val="single" w:sz="4" w:space="0" w:color="auto"/>
              <w:right w:val="single" w:sz="4" w:space="0" w:color="auto"/>
            </w:tcBorders>
            <w:hideMark/>
          </w:tcPr>
          <w:p w:rsidR="0074548F" w:rsidRDefault="008324B0">
            <w:pPr>
              <w:widowControl w:val="0"/>
              <w:rPr>
                <w:szCs w:val="24"/>
              </w:rPr>
            </w:pPr>
            <w:r>
              <w:rPr>
                <w:szCs w:val="24"/>
              </w:rPr>
              <w:t>Daugi</w:t>
            </w:r>
            <w:r>
              <w:rPr>
                <w:szCs w:val="24"/>
              </w:rPr>
              <w:t>au kaip 3 kartus nuskabytas viršūninis ūglis ir nuo 75 iki 100 % šoninių šakučių ūglių (nėra prieaugio į aukštį, stagarai), yra platesnių kaip 3 cm žaizdų kamieno žievėje</w:t>
            </w:r>
          </w:p>
        </w:tc>
      </w:tr>
    </w:tbl>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______________</w:t>
      </w:r>
    </w:p>
    <w:p w:rsidR="0074548F" w:rsidRDefault="008324B0">
      <w:pPr>
        <w:rPr>
          <w:rFonts w:eastAsia="MS Mincho"/>
          <w:i/>
          <w:iCs/>
          <w:sz w:val="20"/>
        </w:rPr>
      </w:pPr>
      <w:r>
        <w:rPr>
          <w:rFonts w:eastAsia="MS Mincho"/>
          <w:i/>
          <w:iCs/>
          <w:sz w:val="20"/>
        </w:rPr>
        <w:t>Priedo pakeitimai:</w:t>
      </w:r>
    </w:p>
    <w:p w:rsidR="0074548F" w:rsidRDefault="008324B0">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D1-69/3D-36</w:t>
        </w:r>
      </w:hyperlink>
      <w:r>
        <w:rPr>
          <w:rFonts w:eastAsia="MS Mincho"/>
          <w:i/>
          <w:iCs/>
          <w:sz w:val="20"/>
        </w:rPr>
        <w:t>, 2015-01-22, paskelbta TAR 2015-01-23, i. k. 2015-01000</w:t>
      </w:r>
    </w:p>
    <w:p w:rsidR="0074548F" w:rsidRDefault="0074548F"/>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sectPr w:rsidR="0074548F">
          <w:pgSz w:w="11907" w:h="16839"/>
          <w:pgMar w:top="1134" w:right="850" w:bottom="1134" w:left="1701" w:header="567" w:footer="567" w:gutter="0"/>
          <w:pgNumType w:start="1"/>
          <w:cols w:space="1296"/>
          <w:titlePg/>
          <w:docGrid w:linePitch="360"/>
        </w:sect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lastRenderedPageBreak/>
        <w:t>Medžiojamųjų gyvūnų padarytos žalos žemės</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t>ūkio pasėliams, ūkiniams gyvū</w:t>
      </w:r>
      <w:r>
        <w:rPr>
          <w:szCs w:val="24"/>
        </w:rPr>
        <w:t xml:space="preserve">nams ir miškui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t xml:space="preserve">apskaičiavimo metodikos </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Cs w:val="24"/>
        </w:rPr>
      </w:pPr>
      <w:r>
        <w:rPr>
          <w:szCs w:val="24"/>
        </w:rPr>
        <w:t>3 priedas</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NUOSTOLIŲ DĖL MEDIENOS PRIEAUGIO IR PADARINGUMO PRARADIMO PAŽEIDUS NEBRANDŲ MEDYNĄ APSKAIČIAVIMO METODIKA</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1. Nuostoliai kiekvienam taksaciniam miško sklypui pagal jo medyno rūšinę sudėtį skaičiuojami, pr</w:t>
      </w:r>
      <w:r>
        <w:rPr>
          <w:szCs w:val="24"/>
        </w:rPr>
        <w:t>adedant antra medynų amžiaus klase.</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2. Pažeisto medyno rūšinė sudėtis, bonitetas, amžiaus klasė ir skalsumas nustatoma pagal miškotvarkos medžiagą arba – įtaksuojant medynus vietoje.</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3. Lentelėje surandami nuostoliai dėl kiekvienos  medžių rūšies ir apskai</w:t>
      </w:r>
      <w:r>
        <w:rPr>
          <w:szCs w:val="24"/>
        </w:rPr>
        <w:t>čiuojamas taksacinio miško sklypo vidutinis nuostolis eurais už vieną  hektarą.</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szCs w:val="24"/>
        </w:rPr>
        <w:t>4. Apskaičiuoti taksacinio miško sklypo vieno hektaro nuostoliai dauginami iš skalsumo ir iš medyno ploto. Bendra pažeistų medynų nuostolių suma gaunama, sudėjus nuostolius, ap</w:t>
      </w:r>
      <w:r>
        <w:rPr>
          <w:szCs w:val="24"/>
        </w:rPr>
        <w:t>skaičiuotus iš visų taksacinių miško sklypų.</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
        <w:jc w:val="center"/>
        <w:rPr>
          <w:rFonts w:eastAsia="Calibri"/>
          <w:b/>
          <w:szCs w:val="24"/>
        </w:rPr>
      </w:pPr>
      <w:r>
        <w:rPr>
          <w:rFonts w:eastAsia="Calibri"/>
          <w:b/>
          <w:szCs w:val="24"/>
        </w:rPr>
        <w:t>Medienos prieaugio praradimo nuostoliai, iškertant nebrandžius 1,0 skalsumo medynus</w:t>
      </w:r>
      <w:r>
        <w:rPr>
          <w:b/>
          <w:szCs w:val="24"/>
        </w:rPr>
        <w:t xml:space="preserve"> </w:t>
      </w:r>
      <w:r>
        <w:rPr>
          <w:rFonts w:eastAsia="Calibri"/>
          <w:b/>
          <w:szCs w:val="24"/>
        </w:rPr>
        <w:t>(tūkst. Eur už hektarą)</w:t>
      </w:r>
    </w:p>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1107"/>
        <w:gridCol w:w="1107"/>
        <w:gridCol w:w="1107"/>
        <w:gridCol w:w="1107"/>
        <w:gridCol w:w="1107"/>
        <w:gridCol w:w="1107"/>
        <w:gridCol w:w="1107"/>
      </w:tblGrid>
      <w:tr w:rsidR="0074548F">
        <w:tc>
          <w:tcPr>
            <w:tcW w:w="1107" w:type="dxa"/>
            <w:vMerge w:val="restart"/>
            <w:tcBorders>
              <w:top w:val="single" w:sz="4" w:space="0" w:color="auto"/>
              <w:left w:val="single" w:sz="4" w:space="0" w:color="auto"/>
              <w:bottom w:val="single" w:sz="4" w:space="0" w:color="auto"/>
              <w:right w:val="single" w:sz="4" w:space="0" w:color="auto"/>
            </w:tcBorders>
            <w:hideMark/>
          </w:tcPr>
          <w:p w:rsidR="0074548F" w:rsidRDefault="008324B0">
            <w:pPr>
              <w:jc w:val="center"/>
              <w:rPr>
                <w:szCs w:val="24"/>
                <w:lang w:eastAsia="lt-LT"/>
              </w:rPr>
            </w:pPr>
            <w:r>
              <w:rPr>
                <w:b/>
                <w:szCs w:val="24"/>
                <w:lang w:eastAsia="lt-LT"/>
              </w:rPr>
              <w:t>Medyno amžiaus klasė</w:t>
            </w:r>
          </w:p>
        </w:tc>
        <w:tc>
          <w:tcPr>
            <w:tcW w:w="7749" w:type="dxa"/>
            <w:gridSpan w:val="7"/>
            <w:tcBorders>
              <w:top w:val="single" w:sz="4" w:space="0" w:color="auto"/>
              <w:left w:val="single" w:sz="4" w:space="0" w:color="auto"/>
              <w:bottom w:val="single" w:sz="4" w:space="0" w:color="auto"/>
              <w:right w:val="single" w:sz="4" w:space="0" w:color="auto"/>
            </w:tcBorders>
            <w:hideMark/>
          </w:tcPr>
          <w:p w:rsidR="0074548F" w:rsidRDefault="008324B0">
            <w:pPr>
              <w:jc w:val="center"/>
              <w:rPr>
                <w:szCs w:val="24"/>
                <w:lang w:eastAsia="lt-LT"/>
              </w:rPr>
            </w:pPr>
            <w:r>
              <w:rPr>
                <w:b/>
                <w:szCs w:val="24"/>
                <w:lang w:eastAsia="lt-LT"/>
              </w:rPr>
              <w:t>Bonitetas</w:t>
            </w:r>
          </w:p>
        </w:tc>
      </w:tr>
      <w:tr w:rsidR="0074548F">
        <w:tc>
          <w:tcPr>
            <w:tcW w:w="0" w:type="auto"/>
            <w:vMerge/>
            <w:tcBorders>
              <w:top w:val="single" w:sz="4" w:space="0" w:color="auto"/>
              <w:left w:val="single" w:sz="4" w:space="0" w:color="auto"/>
              <w:bottom w:val="single" w:sz="4" w:space="0" w:color="auto"/>
              <w:right w:val="single" w:sz="4" w:space="0" w:color="auto"/>
            </w:tcBorders>
            <w:vAlign w:val="center"/>
            <w:hideMark/>
          </w:tcPr>
          <w:p w:rsidR="0074548F" w:rsidRDefault="0074548F">
            <w:pPr>
              <w:rPr>
                <w:szCs w:val="24"/>
                <w:lang w:eastAsia="lt-LT"/>
              </w:rPr>
            </w:pP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val="en-US" w:eastAsia="lt-LT"/>
              </w:rPr>
            </w:pPr>
            <w:r>
              <w:rPr>
                <w:b/>
                <w:szCs w:val="24"/>
                <w:lang w:eastAsia="lt-LT"/>
              </w:rPr>
              <w:t>Ia</w:t>
            </w: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val="en-US" w:eastAsia="lt-LT"/>
              </w:rPr>
            </w:pPr>
            <w:r>
              <w:rPr>
                <w:b/>
                <w:szCs w:val="24"/>
                <w:lang w:eastAsia="lt-LT"/>
              </w:rPr>
              <w:t>I</w:t>
            </w: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val="en-US" w:eastAsia="lt-LT"/>
              </w:rPr>
            </w:pPr>
            <w:r>
              <w:rPr>
                <w:b/>
                <w:szCs w:val="24"/>
                <w:lang w:eastAsia="lt-LT"/>
              </w:rPr>
              <w:t>II</w:t>
            </w: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val="en-US" w:eastAsia="lt-LT"/>
              </w:rPr>
            </w:pPr>
            <w:r>
              <w:rPr>
                <w:b/>
                <w:szCs w:val="24"/>
                <w:lang w:eastAsia="lt-LT"/>
              </w:rPr>
              <w:t>III</w:t>
            </w: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val="en-US" w:eastAsia="lt-LT"/>
              </w:rPr>
            </w:pPr>
            <w:r>
              <w:rPr>
                <w:b/>
                <w:szCs w:val="24"/>
                <w:lang w:eastAsia="lt-LT"/>
              </w:rPr>
              <w:t>IV</w:t>
            </w: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val="en-US" w:eastAsia="lt-LT"/>
              </w:rPr>
            </w:pPr>
            <w:r>
              <w:rPr>
                <w:b/>
                <w:szCs w:val="24"/>
                <w:lang w:eastAsia="lt-LT"/>
              </w:rPr>
              <w:t>V</w:t>
            </w:r>
          </w:p>
        </w:tc>
        <w:tc>
          <w:tcPr>
            <w:tcW w:w="1107" w:type="dxa"/>
            <w:tcBorders>
              <w:top w:val="single" w:sz="4" w:space="0" w:color="auto"/>
              <w:left w:val="single" w:sz="4" w:space="0" w:color="auto"/>
              <w:bottom w:val="single" w:sz="4" w:space="0" w:color="auto"/>
              <w:right w:val="single" w:sz="4" w:space="0" w:color="auto"/>
            </w:tcBorders>
            <w:hideMark/>
          </w:tcPr>
          <w:p w:rsidR="0074548F" w:rsidRDefault="008324B0">
            <w:pPr>
              <w:jc w:val="center"/>
              <w:rPr>
                <w:szCs w:val="24"/>
                <w:lang w:val="en-US" w:eastAsia="lt-LT"/>
              </w:rPr>
            </w:pPr>
            <w:r>
              <w:rPr>
                <w:b/>
                <w:szCs w:val="24"/>
                <w:lang w:eastAsia="lt-LT"/>
              </w:rPr>
              <w:t>Va</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szCs w:val="24"/>
                <w:lang w:eastAsia="lt-LT"/>
              </w:rPr>
            </w:pPr>
            <w:r>
              <w:rPr>
                <w:b/>
                <w:szCs w:val="24"/>
                <w:lang w:eastAsia="lt-LT"/>
              </w:rPr>
              <w:t>Pušis</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0,1</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0,2</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VI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VII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VIII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IX</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X</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szCs w:val="24"/>
                <w:lang w:val="en-US" w:eastAsia="lt-LT"/>
              </w:rPr>
            </w:pPr>
            <w:r>
              <w:rPr>
                <w:szCs w:val="24"/>
                <w:lang w:val="en-US" w:eastAsia="lt-LT"/>
              </w:rPr>
              <w:t>0,1</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szCs w:val="24"/>
                <w:lang w:eastAsia="lt-LT"/>
              </w:rPr>
            </w:pPr>
            <w:r>
              <w:rPr>
                <w:b/>
                <w:szCs w:val="24"/>
                <w:lang w:eastAsia="lt-LT"/>
              </w:rPr>
              <w:t>Eglė</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eastAsia="lt-LT"/>
              </w:rPr>
            </w:pPr>
            <w:r>
              <w:rPr>
                <w:b/>
                <w:szCs w:val="24"/>
                <w:lang w:eastAsia="lt-LT"/>
              </w:rPr>
              <w:t>Ąžuolas</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IX</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lastRenderedPageBreak/>
              <w:t>X</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2,1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XI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XII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eastAsia="lt-LT"/>
              </w:rPr>
            </w:pPr>
            <w:r>
              <w:rPr>
                <w:b/>
                <w:szCs w:val="24"/>
                <w:lang w:eastAsia="lt-LT"/>
              </w:rPr>
              <w:t>Uosis</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VIII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IX</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X</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eastAsia="lt-LT"/>
              </w:rPr>
            </w:pPr>
            <w:r>
              <w:rPr>
                <w:b/>
                <w:szCs w:val="24"/>
                <w:lang w:eastAsia="lt-LT"/>
              </w:rPr>
              <w:t>Beržas</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1,3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1,0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0,7</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0,5</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1,2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0,9</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0,8</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0,6</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VI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eastAsia="lt-LT"/>
              </w:rPr>
            </w:pPr>
            <w:r>
              <w:rPr>
                <w:b/>
                <w:szCs w:val="24"/>
                <w:lang w:eastAsia="lt-LT"/>
              </w:rPr>
              <w:t>Drebulė</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eastAsia="lt-LT"/>
              </w:rPr>
            </w:pPr>
            <w:r>
              <w:rPr>
                <w:b/>
                <w:szCs w:val="24"/>
                <w:lang w:eastAsia="lt-LT"/>
              </w:rPr>
              <w:t>Juodalksnis</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0,4</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V</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0,2</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VI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0,1</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8856" w:type="dxa"/>
            <w:gridSpan w:val="8"/>
            <w:tcBorders>
              <w:top w:val="single" w:sz="4" w:space="0" w:color="auto"/>
              <w:left w:val="single" w:sz="4" w:space="0" w:color="auto"/>
              <w:bottom w:val="single" w:sz="4" w:space="0" w:color="auto"/>
              <w:right w:val="single" w:sz="4" w:space="0" w:color="auto"/>
            </w:tcBorders>
            <w:hideMark/>
          </w:tcPr>
          <w:p w:rsidR="0074548F" w:rsidRDefault="008324B0">
            <w:pPr>
              <w:jc w:val="center"/>
              <w:rPr>
                <w:b/>
                <w:szCs w:val="24"/>
                <w:lang w:eastAsia="lt-LT"/>
              </w:rPr>
            </w:pPr>
            <w:r>
              <w:rPr>
                <w:b/>
                <w:szCs w:val="24"/>
                <w:lang w:eastAsia="lt-LT"/>
              </w:rPr>
              <w:t>Baltalksnis</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0,03</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r w:rsidR="0074548F">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III</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rPr>
            </w:pPr>
            <w:r>
              <w:rPr>
                <w:color w:val="000000"/>
                <w:szCs w:val="24"/>
              </w:rPr>
              <w:t>0,0</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c>
          <w:tcPr>
            <w:tcW w:w="1107" w:type="dxa"/>
            <w:tcBorders>
              <w:top w:val="single" w:sz="4" w:space="0" w:color="auto"/>
              <w:left w:val="single" w:sz="4" w:space="0" w:color="auto"/>
              <w:bottom w:val="single" w:sz="4" w:space="0" w:color="auto"/>
              <w:right w:val="single" w:sz="4" w:space="0" w:color="auto"/>
            </w:tcBorders>
            <w:vAlign w:val="bottom"/>
            <w:hideMark/>
          </w:tcPr>
          <w:p w:rsidR="0074548F" w:rsidRDefault="008324B0">
            <w:pPr>
              <w:jc w:val="center"/>
              <w:rPr>
                <w:color w:val="000000"/>
                <w:szCs w:val="24"/>
                <w:lang w:eastAsia="lt-LT"/>
              </w:rPr>
            </w:pPr>
            <w:r>
              <w:rPr>
                <w:color w:val="000000"/>
                <w:szCs w:val="24"/>
                <w:lang w:eastAsia="lt-LT"/>
              </w:rPr>
              <w:t>-</w:t>
            </w:r>
          </w:p>
        </w:tc>
      </w:tr>
    </w:tbl>
    <w:p w:rsidR="0074548F" w:rsidRDefault="007454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Pr>
          <w:b/>
          <w:szCs w:val="24"/>
        </w:rPr>
        <w:t>Pastaba.</w:t>
      </w:r>
      <w:r>
        <w:rPr>
          <w:szCs w:val="24"/>
        </w:rPr>
        <w:t xml:space="preserve"> Skroblas, klevas, guobiniai ir kitos nenurodytos medžių rūšys įkainojamos pagal beržo kainas. Kainos žemesniuose nenurodytuose bonitetuose nustatomos pagal lentelėje nurodyto žemiausio boniteto kainas, eglės Ia boniteto kainos – pagal I boniteto kainas.</w:t>
      </w:r>
    </w:p>
    <w:p w:rsidR="0074548F" w:rsidRDefault="008324B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szCs w:val="24"/>
        </w:rPr>
        <w:t>_</w:t>
      </w:r>
      <w:r>
        <w:rPr>
          <w:szCs w:val="24"/>
        </w:rPr>
        <w:t>______________</w:t>
      </w:r>
    </w:p>
    <w:p w:rsidR="0074548F" w:rsidRDefault="008324B0">
      <w:pPr>
        <w:rPr>
          <w:rFonts w:eastAsia="MS Mincho"/>
          <w:i/>
          <w:iCs/>
          <w:sz w:val="20"/>
        </w:rPr>
      </w:pPr>
      <w:r>
        <w:rPr>
          <w:rFonts w:eastAsia="MS Mincho"/>
          <w:i/>
          <w:iCs/>
          <w:sz w:val="20"/>
        </w:rPr>
        <w:t>Papildyta priedu:</w:t>
      </w:r>
    </w:p>
    <w:p w:rsidR="0074548F" w:rsidRDefault="008324B0">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D1-69/3D-36</w:t>
        </w:r>
      </w:hyperlink>
      <w:r>
        <w:rPr>
          <w:rFonts w:eastAsia="MS Mincho"/>
          <w:i/>
          <w:iCs/>
          <w:sz w:val="20"/>
        </w:rPr>
        <w:t>, 2015-01-22, paskelbta TAR 2015-01-23, i. k. 2015-01000</w:t>
      </w:r>
    </w:p>
    <w:p w:rsidR="0074548F" w:rsidRDefault="008324B0">
      <w:pPr>
        <w:rPr>
          <w:rFonts w:eastAsia="MS Mincho"/>
          <w:i/>
          <w:iCs/>
          <w:sz w:val="20"/>
        </w:rPr>
      </w:pPr>
      <w:r>
        <w:rPr>
          <w:rFonts w:eastAsia="MS Mincho"/>
          <w:i/>
          <w:iCs/>
          <w:sz w:val="20"/>
        </w:rPr>
        <w:t>Priedo pakeitimai:</w:t>
      </w:r>
    </w:p>
    <w:p w:rsidR="0074548F" w:rsidRDefault="008324B0">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D1-431/3D-409</w:t>
        </w:r>
      </w:hyperlink>
      <w:r>
        <w:rPr>
          <w:rFonts w:eastAsia="MS Mincho"/>
          <w:i/>
          <w:iCs/>
          <w:sz w:val="20"/>
        </w:rPr>
        <w:t>, 2015-05-22, paskelbta TAR 2015-05-22, i. k. 2015-07791</w:t>
      </w:r>
    </w:p>
    <w:p w:rsidR="0074548F" w:rsidRDefault="0074548F"/>
    <w:p w:rsidR="0074548F" w:rsidRDefault="0074548F">
      <w:pPr>
        <w:jc w:val="both"/>
        <w:rPr>
          <w:b/>
          <w:sz w:val="20"/>
        </w:rPr>
      </w:pPr>
    </w:p>
    <w:p w:rsidR="0074548F" w:rsidRDefault="0074548F">
      <w:pPr>
        <w:jc w:val="both"/>
        <w:rPr>
          <w:b/>
          <w:sz w:val="20"/>
        </w:rPr>
      </w:pPr>
    </w:p>
    <w:p w:rsidR="0074548F" w:rsidRDefault="008324B0">
      <w:pPr>
        <w:jc w:val="both"/>
        <w:rPr>
          <w:b/>
        </w:rPr>
      </w:pPr>
      <w:r>
        <w:rPr>
          <w:b/>
          <w:sz w:val="20"/>
        </w:rPr>
        <w:t>Pakeitimai:</w:t>
      </w:r>
    </w:p>
    <w:p w:rsidR="0074548F" w:rsidRDefault="0074548F">
      <w:pPr>
        <w:jc w:val="both"/>
        <w:rPr>
          <w:sz w:val="20"/>
        </w:rPr>
      </w:pPr>
    </w:p>
    <w:p w:rsidR="0074548F" w:rsidRDefault="008324B0">
      <w:pPr>
        <w:jc w:val="both"/>
      </w:pPr>
      <w:r>
        <w:rPr>
          <w:sz w:val="20"/>
        </w:rPr>
        <w:t>1.</w:t>
      </w:r>
    </w:p>
    <w:p w:rsidR="0074548F" w:rsidRDefault="008324B0">
      <w:pPr>
        <w:jc w:val="both"/>
      </w:pPr>
      <w:r>
        <w:rPr>
          <w:sz w:val="20"/>
        </w:rPr>
        <w:t xml:space="preserve">Lietuvos Respublikos žemės ūkio ministerija, Lietuvos Respublikos </w:t>
      </w:r>
      <w:r>
        <w:rPr>
          <w:sz w:val="20"/>
        </w:rPr>
        <w:t>aplinkos ministerija, Įsakymas</w:t>
      </w:r>
    </w:p>
    <w:p w:rsidR="0074548F" w:rsidRDefault="008324B0">
      <w:pPr>
        <w:jc w:val="both"/>
      </w:pPr>
      <w:r>
        <w:rPr>
          <w:sz w:val="20"/>
        </w:rPr>
        <w:t xml:space="preserve">Nr. </w:t>
      </w:r>
      <w:hyperlink r:id="rId41" w:history="1">
        <w:r w:rsidRPr="00532B9F">
          <w:rPr>
            <w:rFonts w:eastAsia="MS Mincho"/>
            <w:iCs/>
            <w:color w:val="0000FF" w:themeColor="hyperlink"/>
            <w:sz w:val="20"/>
            <w:u w:val="single"/>
          </w:rPr>
          <w:t>D1-723/3D-669</w:t>
        </w:r>
      </w:hyperlink>
      <w:r>
        <w:rPr>
          <w:rFonts w:eastAsia="MS Mincho"/>
          <w:iCs/>
          <w:sz w:val="20"/>
        </w:rPr>
        <w:t>, 2013-10-01, Žin., 2013, Nr. 105-5162 (2013-10-05), i. k. 113301MISAK3/3D-669</w:t>
      </w:r>
    </w:p>
    <w:p w:rsidR="0074548F" w:rsidRDefault="008324B0">
      <w:pPr>
        <w:jc w:val="both"/>
      </w:pPr>
      <w:r>
        <w:rPr>
          <w:sz w:val="20"/>
        </w:rPr>
        <w:t>Dėl Lietuvos Respublikos aplinkos ministro ir L</w:t>
      </w:r>
      <w:r>
        <w:rPr>
          <w:sz w:val="20"/>
        </w:rPr>
        <w:t>ietuvos Respublikos žemės ūkio ministro 2002 m. rugsėjo 23 d. įsakymo Nr. 486/359 "Dėl Medžiojamųjų gyvūnų padarytos žalos žemės ūkio pasėliams ir miškui apskaičiavimo metodikos patvirtinimo" pakeitimo</w:t>
      </w:r>
    </w:p>
    <w:p w:rsidR="0074548F" w:rsidRDefault="0074548F">
      <w:pPr>
        <w:jc w:val="both"/>
        <w:rPr>
          <w:sz w:val="20"/>
        </w:rPr>
      </w:pPr>
    </w:p>
    <w:p w:rsidR="0074548F" w:rsidRDefault="008324B0">
      <w:pPr>
        <w:jc w:val="both"/>
      </w:pPr>
      <w:r>
        <w:rPr>
          <w:sz w:val="20"/>
        </w:rPr>
        <w:t>2.</w:t>
      </w:r>
    </w:p>
    <w:p w:rsidR="0074548F" w:rsidRDefault="008324B0">
      <w:pPr>
        <w:jc w:val="both"/>
      </w:pPr>
      <w:r>
        <w:rPr>
          <w:sz w:val="20"/>
        </w:rPr>
        <w:lastRenderedPageBreak/>
        <w:t>Lietuvos Respublikos aplinkos ministerija, Lietuvo</w:t>
      </w:r>
      <w:r>
        <w:rPr>
          <w:sz w:val="20"/>
        </w:rPr>
        <w:t>s Respublikos žemės ūkio ministerija, Įsakymas</w:t>
      </w:r>
    </w:p>
    <w:p w:rsidR="0074548F" w:rsidRDefault="008324B0">
      <w:pPr>
        <w:jc w:val="both"/>
      </w:pPr>
      <w:r>
        <w:rPr>
          <w:sz w:val="20"/>
        </w:rPr>
        <w:t xml:space="preserve">Nr. </w:t>
      </w:r>
      <w:hyperlink r:id="rId42" w:history="1">
        <w:r w:rsidRPr="00532B9F">
          <w:rPr>
            <w:rFonts w:eastAsia="MS Mincho"/>
            <w:iCs/>
            <w:color w:val="0000FF" w:themeColor="hyperlink"/>
            <w:sz w:val="20"/>
            <w:u w:val="single"/>
          </w:rPr>
          <w:t>D1-69/3D-36</w:t>
        </w:r>
      </w:hyperlink>
      <w:r>
        <w:rPr>
          <w:rFonts w:eastAsia="MS Mincho"/>
          <w:iCs/>
          <w:sz w:val="20"/>
        </w:rPr>
        <w:t>, 2015-01-22, paskelbta TAR 2015-01-23, i. k. 2015-01000</w:t>
      </w:r>
    </w:p>
    <w:p w:rsidR="0074548F" w:rsidRDefault="008324B0">
      <w:pPr>
        <w:jc w:val="both"/>
      </w:pPr>
      <w:r>
        <w:rPr>
          <w:sz w:val="20"/>
        </w:rPr>
        <w:t>Dėl Lietuvos Respublikos aplinkos minis</w:t>
      </w:r>
      <w:r>
        <w:rPr>
          <w:sz w:val="20"/>
        </w:rPr>
        <w:t>tro ir Lietuvos Respublikos žemės ūkio ministro 2002 m. rugsėjo 23 d. įsakymo Nr. 486/359 "Dėl Medžiojamųjų gyvūnų padarytos žalos žemės ūkio pasėliams, ūkiniams gyvūnams ir miškui apskaičiavimo metodikos patvirtinimo“ pakeitimo</w:t>
      </w:r>
    </w:p>
    <w:p w:rsidR="0074548F" w:rsidRDefault="0074548F">
      <w:pPr>
        <w:jc w:val="both"/>
        <w:rPr>
          <w:sz w:val="20"/>
        </w:rPr>
      </w:pPr>
    </w:p>
    <w:p w:rsidR="0074548F" w:rsidRDefault="008324B0">
      <w:pPr>
        <w:jc w:val="both"/>
      </w:pPr>
      <w:r>
        <w:rPr>
          <w:sz w:val="20"/>
        </w:rPr>
        <w:t>3.</w:t>
      </w:r>
    </w:p>
    <w:p w:rsidR="0074548F" w:rsidRDefault="008324B0">
      <w:pPr>
        <w:jc w:val="both"/>
      </w:pPr>
      <w:r>
        <w:rPr>
          <w:sz w:val="20"/>
        </w:rPr>
        <w:t>Lietuvos Respublikos ap</w:t>
      </w:r>
      <w:r>
        <w:rPr>
          <w:sz w:val="20"/>
        </w:rPr>
        <w:t>linkos ministerija, Lietuvos Respublikos žemės ūkio ministerija, Įsakymas</w:t>
      </w:r>
    </w:p>
    <w:p w:rsidR="0074548F" w:rsidRDefault="008324B0">
      <w:pPr>
        <w:jc w:val="both"/>
      </w:pPr>
      <w:r>
        <w:rPr>
          <w:sz w:val="20"/>
        </w:rPr>
        <w:t xml:space="preserve">Nr. </w:t>
      </w:r>
      <w:hyperlink r:id="rId43" w:history="1">
        <w:r w:rsidRPr="00532B9F">
          <w:rPr>
            <w:rFonts w:eastAsia="MS Mincho"/>
            <w:iCs/>
            <w:color w:val="0000FF" w:themeColor="hyperlink"/>
            <w:sz w:val="20"/>
            <w:u w:val="single"/>
          </w:rPr>
          <w:t>D1-431/3D-409</w:t>
        </w:r>
      </w:hyperlink>
      <w:r>
        <w:rPr>
          <w:rFonts w:eastAsia="MS Mincho"/>
          <w:iCs/>
          <w:sz w:val="20"/>
        </w:rPr>
        <w:t>, 2015-05-22, paskelbta TAR 2015-05-22, i. k. 2015-07791</w:t>
      </w:r>
    </w:p>
    <w:p w:rsidR="0074548F" w:rsidRDefault="008324B0">
      <w:pPr>
        <w:jc w:val="both"/>
      </w:pPr>
      <w:r>
        <w:rPr>
          <w:sz w:val="20"/>
        </w:rPr>
        <w:t>Dėl Lietuv</w:t>
      </w:r>
      <w:r>
        <w:rPr>
          <w:sz w:val="20"/>
        </w:rPr>
        <w:t>os Respublikos aplinkos ministro ir Lietuvos Respublikos žemės ūkio ministro 2002 m. rugsėjo 23 d. įsakymo Nr. 486/359 "Dėl Medžiojamųjų gyvūnų padarytos žalos žemės ūkio pasėliams, ūkiniams gyvūnams ir miškui apskaičiavimo metodikos patvirtinimo“ pakeitim</w:t>
      </w:r>
      <w:r>
        <w:rPr>
          <w:sz w:val="20"/>
        </w:rPr>
        <w:t>o</w:t>
      </w:r>
    </w:p>
    <w:p w:rsidR="0074548F" w:rsidRDefault="0074548F">
      <w:pPr>
        <w:jc w:val="both"/>
        <w:rPr>
          <w:sz w:val="20"/>
        </w:rPr>
      </w:pPr>
    </w:p>
    <w:p w:rsidR="0074548F" w:rsidRDefault="008324B0">
      <w:pPr>
        <w:jc w:val="both"/>
      </w:pPr>
      <w:r>
        <w:rPr>
          <w:sz w:val="20"/>
        </w:rPr>
        <w:t>4.</w:t>
      </w:r>
    </w:p>
    <w:p w:rsidR="0074548F" w:rsidRDefault="008324B0">
      <w:pPr>
        <w:jc w:val="both"/>
      </w:pPr>
      <w:r>
        <w:rPr>
          <w:sz w:val="20"/>
        </w:rPr>
        <w:t>Lietuvos Respublikos aplinkos ministerija, Lietuvos Respublikos žemės ūkio ministerija, Įsakymas</w:t>
      </w:r>
    </w:p>
    <w:p w:rsidR="0074548F" w:rsidRDefault="008324B0">
      <w:pPr>
        <w:jc w:val="both"/>
      </w:pPr>
      <w:r>
        <w:rPr>
          <w:sz w:val="20"/>
        </w:rPr>
        <w:t xml:space="preserve">Nr. </w:t>
      </w:r>
      <w:hyperlink r:id="rId44" w:history="1">
        <w:r w:rsidRPr="00532B9F">
          <w:rPr>
            <w:rFonts w:eastAsia="MS Mincho"/>
            <w:iCs/>
            <w:color w:val="0000FF" w:themeColor="hyperlink"/>
            <w:sz w:val="20"/>
            <w:u w:val="single"/>
          </w:rPr>
          <w:t>D1-603/3D-652</w:t>
        </w:r>
      </w:hyperlink>
      <w:r>
        <w:rPr>
          <w:rFonts w:eastAsia="MS Mincho"/>
          <w:iCs/>
          <w:sz w:val="20"/>
        </w:rPr>
        <w:t>, 2015-08-21, paskelbta TAR 2015-08-21</w:t>
      </w:r>
      <w:r>
        <w:rPr>
          <w:rFonts w:eastAsia="MS Mincho"/>
          <w:iCs/>
          <w:sz w:val="20"/>
        </w:rPr>
        <w:t>, i. k. 2015-12505</w:t>
      </w:r>
    </w:p>
    <w:p w:rsidR="0074548F" w:rsidRDefault="008324B0">
      <w:pPr>
        <w:jc w:val="both"/>
      </w:pPr>
      <w:r>
        <w:rPr>
          <w:sz w:val="20"/>
        </w:rPr>
        <w:t>Dėl Lietuvos Respublikos aplinkos ministro ir Lietuvos Respublikos žemės ūkio ministro 2002 m. rugsėjo 23 d. įsakymo Nr. 486/359 „Dėl Medžiojamųjų gyvūnų padarytos žalos žemės ūkio pasėliams, ūkiniams gyvūnams ir miškui apskaičiavimo met</w:t>
      </w:r>
      <w:r>
        <w:rPr>
          <w:sz w:val="20"/>
        </w:rPr>
        <w:t>odikos patvirtinimo“ pakeitimo</w:t>
      </w:r>
    </w:p>
    <w:p w:rsidR="0074548F" w:rsidRDefault="0074548F">
      <w:pPr>
        <w:jc w:val="both"/>
        <w:rPr>
          <w:sz w:val="20"/>
        </w:rPr>
      </w:pPr>
    </w:p>
    <w:p w:rsidR="0074548F" w:rsidRDefault="008324B0">
      <w:pPr>
        <w:jc w:val="both"/>
      </w:pPr>
      <w:r>
        <w:rPr>
          <w:sz w:val="20"/>
        </w:rPr>
        <w:t>5.</w:t>
      </w:r>
    </w:p>
    <w:p w:rsidR="0074548F" w:rsidRDefault="008324B0">
      <w:pPr>
        <w:jc w:val="both"/>
      </w:pPr>
      <w:r>
        <w:rPr>
          <w:sz w:val="20"/>
        </w:rPr>
        <w:t>Lietuvos Respublikos aplinkos ministerija, Lietuvos Respublikos žemės ūkio ministerija, Įsakymas</w:t>
      </w:r>
    </w:p>
    <w:p w:rsidR="0074548F" w:rsidRDefault="008324B0">
      <w:pPr>
        <w:jc w:val="both"/>
      </w:pPr>
      <w:r>
        <w:rPr>
          <w:sz w:val="20"/>
        </w:rPr>
        <w:t xml:space="preserve">Nr. </w:t>
      </w:r>
      <w:hyperlink r:id="rId45" w:history="1">
        <w:r w:rsidRPr="00532B9F">
          <w:rPr>
            <w:rFonts w:eastAsia="MS Mincho"/>
            <w:iCs/>
            <w:color w:val="0000FF" w:themeColor="hyperlink"/>
            <w:sz w:val="20"/>
            <w:u w:val="single"/>
          </w:rPr>
          <w:t>D1-589/3D-504</w:t>
        </w:r>
      </w:hyperlink>
      <w:r>
        <w:rPr>
          <w:rFonts w:eastAsia="MS Mincho"/>
          <w:iCs/>
          <w:sz w:val="20"/>
        </w:rPr>
        <w:t xml:space="preserve">, </w:t>
      </w:r>
      <w:r>
        <w:rPr>
          <w:rFonts w:eastAsia="MS Mincho"/>
          <w:iCs/>
          <w:sz w:val="20"/>
        </w:rPr>
        <w:t>2016-09-06, paskelbta TAR 2016-09-07, i. k. 2016-23320</w:t>
      </w:r>
    </w:p>
    <w:p w:rsidR="0074548F" w:rsidRDefault="008324B0">
      <w:pPr>
        <w:jc w:val="both"/>
      </w:pPr>
      <w:r>
        <w:rPr>
          <w:sz w:val="20"/>
        </w:rPr>
        <w:t>Dėl aplinkos ministro ir žemės ūkio ministro 2002 m. rugsėjo 23 d. įsakymo Nr. 486/359 ,,Dėl Medžiojamųjų gyvūnų padarytos žalos žemės ūkio pasėliams, ūkiniams gyvūnams ir miškui apskaičiavimo metodiko</w:t>
      </w:r>
      <w:r>
        <w:rPr>
          <w:sz w:val="20"/>
        </w:rPr>
        <w:t>s patvirtinimo“ pakeitimo</w:t>
      </w:r>
    </w:p>
    <w:p w:rsidR="0074548F" w:rsidRDefault="0074548F">
      <w:pPr>
        <w:jc w:val="both"/>
        <w:rPr>
          <w:sz w:val="20"/>
        </w:rPr>
      </w:pPr>
    </w:p>
    <w:p w:rsidR="0074548F" w:rsidRDefault="008324B0">
      <w:pPr>
        <w:jc w:val="both"/>
      </w:pPr>
      <w:r>
        <w:rPr>
          <w:sz w:val="20"/>
        </w:rPr>
        <w:t>6.</w:t>
      </w:r>
    </w:p>
    <w:p w:rsidR="0074548F" w:rsidRDefault="008324B0">
      <w:pPr>
        <w:jc w:val="both"/>
      </w:pPr>
      <w:r>
        <w:rPr>
          <w:sz w:val="20"/>
        </w:rPr>
        <w:t>Lietuvos Respublikos aplinkos ministerija, Lietuvos Respublikos žemės ūkio ministerija, Įsakymas</w:t>
      </w:r>
    </w:p>
    <w:p w:rsidR="0074548F" w:rsidRDefault="008324B0">
      <w:pPr>
        <w:jc w:val="both"/>
      </w:pPr>
      <w:r>
        <w:rPr>
          <w:sz w:val="20"/>
        </w:rPr>
        <w:t xml:space="preserve">Nr. </w:t>
      </w:r>
      <w:hyperlink r:id="rId46" w:history="1">
        <w:r w:rsidRPr="00532B9F">
          <w:rPr>
            <w:rFonts w:eastAsia="MS Mincho"/>
            <w:iCs/>
            <w:color w:val="0000FF" w:themeColor="hyperlink"/>
            <w:sz w:val="20"/>
            <w:u w:val="single"/>
          </w:rPr>
          <w:t>D1-890/3D-745</w:t>
        </w:r>
      </w:hyperlink>
      <w:r>
        <w:rPr>
          <w:rFonts w:eastAsia="MS Mincho"/>
          <w:iCs/>
          <w:sz w:val="20"/>
        </w:rPr>
        <w:t xml:space="preserve">, 2018-10-18, </w:t>
      </w:r>
      <w:r>
        <w:rPr>
          <w:rFonts w:eastAsia="MS Mincho"/>
          <w:iCs/>
          <w:sz w:val="20"/>
        </w:rPr>
        <w:t>paskelbta TAR 2018-10-19, i. k. 2018-16376</w:t>
      </w:r>
    </w:p>
    <w:p w:rsidR="0074548F" w:rsidRDefault="008324B0">
      <w:pPr>
        <w:jc w:val="both"/>
      </w:pPr>
      <w:r>
        <w:rPr>
          <w:sz w:val="20"/>
        </w:rPr>
        <w:t>Dėl aplinkos ministro ir žemės ūkio ministro 2002 m. rugsėjo 23 d. įsakymo Nr. 486/359 „Dėl Medžiojamųjų gyvūnų padarytos žalos žemės ūkio pasėliams, ūkiniams gyvūnams ir miškui apskaičiavimo metodikos patvirtinim</w:t>
      </w:r>
      <w:r>
        <w:rPr>
          <w:sz w:val="20"/>
        </w:rPr>
        <w:t>o“ pakeitimo</w:t>
      </w:r>
    </w:p>
    <w:p w:rsidR="0074548F" w:rsidRDefault="0074548F">
      <w:pPr>
        <w:jc w:val="both"/>
        <w:rPr>
          <w:sz w:val="20"/>
        </w:rPr>
      </w:pPr>
    </w:p>
    <w:p w:rsidR="0074548F" w:rsidRDefault="0074548F">
      <w:pPr>
        <w:widowControl w:val="0"/>
        <w:rPr>
          <w:snapToGrid w:val="0"/>
        </w:rPr>
      </w:pPr>
    </w:p>
    <w:sectPr w:rsidR="0074548F">
      <w:pgSz w:w="11907" w:h="16839"/>
      <w:pgMar w:top="1134" w:right="850"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4B0" w:rsidRDefault="008324B0">
      <w:r>
        <w:separator/>
      </w:r>
    </w:p>
  </w:endnote>
  <w:endnote w:type="continuationSeparator" w:id="0">
    <w:p w:rsidR="008324B0" w:rsidRDefault="0083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74548F">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74548F">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74548F">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4B0" w:rsidRDefault="008324B0">
      <w:r>
        <w:separator/>
      </w:r>
    </w:p>
  </w:footnote>
  <w:footnote w:type="continuationSeparator" w:id="0">
    <w:p w:rsidR="008324B0" w:rsidRDefault="008324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8324B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rsidR="0074548F" w:rsidRDefault="0074548F">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8324B0">
    <w:pPr>
      <w:pStyle w:val="Antrats"/>
      <w:jc w:val="center"/>
    </w:pPr>
    <w:r>
      <w:fldChar w:fldCharType="begin"/>
    </w:r>
    <w:r>
      <w:instrText>PAGE   \* MERGEFORMAT</w:instrText>
    </w:r>
    <w:r>
      <w:fldChar w:fldCharType="separate"/>
    </w:r>
    <w:r>
      <w:t>11</w:t>
    </w:r>
    <w:r>
      <w:fldChar w:fldCharType="end"/>
    </w:r>
  </w:p>
  <w:p w:rsidR="0074548F" w:rsidRDefault="0074548F">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74548F">
    <w:pPr>
      <w:tabs>
        <w:tab w:val="center" w:pos="4153"/>
        <w:tab w:val="right" w:pos="8306"/>
      </w:tabs>
      <w:rPr>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8324B0">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rsidR="008A5A94" w:rsidRPr="008A5A94">
      <w:rPr>
        <w:noProof/>
      </w:rPr>
      <w:t>3</w:t>
    </w:r>
    <w:r>
      <w:rPr>
        <w:lang w:val="en-GB"/>
      </w:rPr>
      <w:fldChar w:fldCharType="end"/>
    </w:r>
  </w:p>
  <w:p w:rsidR="0074548F" w:rsidRDefault="0074548F">
    <w:pPr>
      <w:tabs>
        <w:tab w:val="center" w:pos="4153"/>
        <w:tab w:val="right" w:pos="8306"/>
      </w:tabs>
      <w:overflowPunct w:val="0"/>
      <w:jc w:val="both"/>
      <w:textAlignment w:val="baseline"/>
      <w:rPr>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48F" w:rsidRDefault="0074548F">
    <w:pPr>
      <w:tabs>
        <w:tab w:val="center" w:pos="4153"/>
        <w:tab w:val="right" w:pos="8306"/>
      </w:tabs>
      <w:overflowPunct w:val="0"/>
      <w:jc w:val="both"/>
      <w:textAlignment w:val="baselin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C"/>
    <w:rsid w:val="0031499C"/>
    <w:rsid w:val="0074548F"/>
    <w:rsid w:val="008324B0"/>
    <w:rsid w:val="008A5A9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4830">
      <w:bodyDiv w:val="1"/>
      <w:marLeft w:val="0"/>
      <w:marRight w:val="0"/>
      <w:marTop w:val="0"/>
      <w:marBottom w:val="0"/>
      <w:divBdr>
        <w:top w:val="none" w:sz="0" w:space="0" w:color="auto"/>
        <w:left w:val="none" w:sz="0" w:space="0" w:color="auto"/>
        <w:bottom w:val="none" w:sz="0" w:space="0" w:color="auto"/>
        <w:right w:val="none" w:sz="0" w:space="0" w:color="auto"/>
      </w:divBdr>
    </w:div>
    <w:div w:id="67853401">
      <w:bodyDiv w:val="1"/>
      <w:marLeft w:val="0"/>
      <w:marRight w:val="0"/>
      <w:marTop w:val="0"/>
      <w:marBottom w:val="0"/>
      <w:divBdr>
        <w:top w:val="none" w:sz="0" w:space="0" w:color="auto"/>
        <w:left w:val="none" w:sz="0" w:space="0" w:color="auto"/>
        <w:bottom w:val="none" w:sz="0" w:space="0" w:color="auto"/>
        <w:right w:val="none" w:sz="0" w:space="0" w:color="auto"/>
      </w:divBdr>
    </w:div>
    <w:div w:id="83571766">
      <w:bodyDiv w:val="1"/>
      <w:marLeft w:val="0"/>
      <w:marRight w:val="0"/>
      <w:marTop w:val="0"/>
      <w:marBottom w:val="0"/>
      <w:divBdr>
        <w:top w:val="none" w:sz="0" w:space="0" w:color="auto"/>
        <w:left w:val="none" w:sz="0" w:space="0" w:color="auto"/>
        <w:bottom w:val="none" w:sz="0" w:space="0" w:color="auto"/>
        <w:right w:val="none" w:sz="0" w:space="0" w:color="auto"/>
      </w:divBdr>
    </w:div>
    <w:div w:id="387414092">
      <w:bodyDiv w:val="1"/>
      <w:marLeft w:val="0"/>
      <w:marRight w:val="0"/>
      <w:marTop w:val="0"/>
      <w:marBottom w:val="0"/>
      <w:divBdr>
        <w:top w:val="none" w:sz="0" w:space="0" w:color="auto"/>
        <w:left w:val="none" w:sz="0" w:space="0" w:color="auto"/>
        <w:bottom w:val="none" w:sz="0" w:space="0" w:color="auto"/>
        <w:right w:val="none" w:sz="0" w:space="0" w:color="auto"/>
      </w:divBdr>
    </w:div>
    <w:div w:id="465700299">
      <w:bodyDiv w:val="1"/>
      <w:marLeft w:val="0"/>
      <w:marRight w:val="0"/>
      <w:marTop w:val="0"/>
      <w:marBottom w:val="0"/>
      <w:divBdr>
        <w:top w:val="none" w:sz="0" w:space="0" w:color="auto"/>
        <w:left w:val="none" w:sz="0" w:space="0" w:color="auto"/>
        <w:bottom w:val="none" w:sz="0" w:space="0" w:color="auto"/>
        <w:right w:val="none" w:sz="0" w:space="0" w:color="auto"/>
      </w:divBdr>
    </w:div>
    <w:div w:id="579100911">
      <w:bodyDiv w:val="1"/>
      <w:marLeft w:val="0"/>
      <w:marRight w:val="0"/>
      <w:marTop w:val="0"/>
      <w:marBottom w:val="0"/>
      <w:divBdr>
        <w:top w:val="none" w:sz="0" w:space="0" w:color="auto"/>
        <w:left w:val="none" w:sz="0" w:space="0" w:color="auto"/>
        <w:bottom w:val="none" w:sz="0" w:space="0" w:color="auto"/>
        <w:right w:val="none" w:sz="0" w:space="0" w:color="auto"/>
      </w:divBdr>
    </w:div>
    <w:div w:id="64974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73ea58b0a2f611e4a82d9548fb36f682" TargetMode="External"/><Relationship Id="rId13" Type="http://schemas.openxmlformats.org/officeDocument/2006/relationships/header" Target="header3.xml"/><Relationship Id="rId18" Type="http://schemas.openxmlformats.org/officeDocument/2006/relationships/hyperlink" Target="https://www.e-tar.lt/portal/legalAct.html?documentId=cfeb06b0d2da11e8bea9885f77677ec1" TargetMode="External"/><Relationship Id="rId26" Type="http://schemas.openxmlformats.org/officeDocument/2006/relationships/hyperlink" Target="https://www.e-tar.lt/portal/legalAct.html?documentId=cfeb06b0d2da11e8bea9885f77677ec1" TargetMode="External"/><Relationship Id="rId39" Type="http://schemas.openxmlformats.org/officeDocument/2006/relationships/hyperlink" Target="https://www.e-tar.lt/portal/legalAct.html?documentId=73ea58b0a2f611e4a82d9548fb36f682" TargetMode="External"/><Relationship Id="rId3" Type="http://schemas.openxmlformats.org/officeDocument/2006/relationships/settings" Target="settings.xml"/><Relationship Id="rId21" Type="http://schemas.openxmlformats.org/officeDocument/2006/relationships/hyperlink" Target="https://www.e-tar.lt/portal/legalAct.html?documentId=fac4cec0006f11e588da8908dfa91cac" TargetMode="External"/><Relationship Id="rId34" Type="http://schemas.openxmlformats.org/officeDocument/2006/relationships/header" Target="header4.xml"/><Relationship Id="rId42" Type="http://schemas.openxmlformats.org/officeDocument/2006/relationships/hyperlink" Target="https://www.e-tar.lt/portal/legalAct.html?documentId=73ea58b0a2f611e4a82d9548fb36f682" TargetMode="External"/><Relationship Id="rId47" Type="http://schemas.openxmlformats.org/officeDocument/2006/relationships/fontTable" Target="fontTable.xml"/><Relationship Id="rId7" Type="http://schemas.openxmlformats.org/officeDocument/2006/relationships/hyperlink" Target="https://www.e-tar.lt/portal/legalAct.html?documentId=TAR.78DDD9AF9502" TargetMode="External"/><Relationship Id="rId12" Type="http://schemas.openxmlformats.org/officeDocument/2006/relationships/footer" Target="footer2.xml"/><Relationship Id="rId17" Type="http://schemas.openxmlformats.org/officeDocument/2006/relationships/hyperlink" Target="https://www.e-tar.lt/portal/legalAct.html?documentId=04da1ca047f911e5a38cd6cdb94b0c51" TargetMode="External"/><Relationship Id="rId25" Type="http://schemas.openxmlformats.org/officeDocument/2006/relationships/hyperlink" Target="https://www.e-tar.lt/portal/legalAct.html?documentId=cfeb06b0d2da11e8bea9885f77677ec1" TargetMode="External"/><Relationship Id="rId33" Type="http://schemas.openxmlformats.org/officeDocument/2006/relationships/hyperlink" Target="https://www.e-tar.lt/portal/legalAct.html?documentId=73ea58b0a2f611e4a82d9548fb36f682" TargetMode="External"/><Relationship Id="rId38" Type="http://schemas.openxmlformats.org/officeDocument/2006/relationships/hyperlink" Target="https://www.e-tar.lt/portal/legalAct.html?documentId=73ea58b0a2f611e4a82d9548fb36f682" TargetMode="External"/><Relationship Id="rId46" Type="http://schemas.openxmlformats.org/officeDocument/2006/relationships/hyperlink" Target="https://www.e-tar.lt/portal/legalAct.html?documentId=cfeb06b0d2da11e8bea9885f77677ec1" TargetMode="External"/><Relationship Id="rId2" Type="http://schemas.microsoft.com/office/2007/relationships/stylesWithEffects" Target="stylesWithEffects.xml"/><Relationship Id="rId16" Type="http://schemas.openxmlformats.org/officeDocument/2006/relationships/hyperlink" Target="https://www.e-tar.lt/portal/legalAct.html?documentId=fac4cec0006f11e588da8908dfa91cac" TargetMode="External"/><Relationship Id="rId20" Type="http://schemas.openxmlformats.org/officeDocument/2006/relationships/hyperlink" Target="https://www.e-tar.lt/portal/legalAct.html?documentId=fc27b8d074f511e6b969d7ae07280e89" TargetMode="External"/><Relationship Id="rId29" Type="http://schemas.openxmlformats.org/officeDocument/2006/relationships/hyperlink" Target="https://www.e-tar.lt/portal/legalAct.html?documentId=04da1ca047f911e5a38cd6cdb94b0c51" TargetMode="External"/><Relationship Id="rId41" Type="http://schemas.openxmlformats.org/officeDocument/2006/relationships/hyperlink" Target="https://www.e-tar.lt/portal/legalAct.html?documentId=TAR.4EF255A83C3A"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e-tar.lt/portal/legalAct.html?documentId=fc27b8d074f511e6b969d7ae07280e89" TargetMode="External"/><Relationship Id="rId32" Type="http://schemas.openxmlformats.org/officeDocument/2006/relationships/hyperlink" Target="https://www.e-tar.lt/portal/legalAct.html?documentId=TAR.4EF255A83C3A" TargetMode="External"/><Relationship Id="rId37" Type="http://schemas.openxmlformats.org/officeDocument/2006/relationships/hyperlink" Target="https://www.e-tar.lt/portal/legalAct.html?documentId=cfeb06b0d2da11e8bea9885f77677ec1" TargetMode="External"/><Relationship Id="rId40" Type="http://schemas.openxmlformats.org/officeDocument/2006/relationships/hyperlink" Target="https://www.e-tar.lt/portal/legalAct.html?documentId=fac4cec0006f11e588da8908dfa91cac" TargetMode="External"/><Relationship Id="rId45" Type="http://schemas.openxmlformats.org/officeDocument/2006/relationships/hyperlink" Target="https://www.e-tar.lt/portal/legalAct.html?documentId=fc27b8d074f511e6b969d7ae07280e89" TargetMode="External"/><Relationship Id="rId5" Type="http://schemas.openxmlformats.org/officeDocument/2006/relationships/footnotes" Target="footnotes.xml"/><Relationship Id="rId15" Type="http://schemas.openxmlformats.org/officeDocument/2006/relationships/hyperlink" Target="https://www.e-tar.lt/portal/legalAct.html?documentId=04da1ca047f911e5a38cd6cdb94b0c51" TargetMode="External"/><Relationship Id="rId23" Type="http://schemas.openxmlformats.org/officeDocument/2006/relationships/hyperlink" Target="https://www.e-tar.lt/portal/legalAct.html?documentId=cfeb06b0d2da11e8bea9885f77677ec1" TargetMode="External"/><Relationship Id="rId28" Type="http://schemas.openxmlformats.org/officeDocument/2006/relationships/hyperlink" Target="https://www.e-tar.lt/portal/legalAct.html?documentId=cfeb06b0d2da11e8bea9885f77677ec1" TargetMode="External"/><Relationship Id="rId36" Type="http://schemas.openxmlformats.org/officeDocument/2006/relationships/hyperlink" Target="https://www.e-tar.lt/portal/legalAct.html?documentId=73ea58b0a2f611e4a82d9548fb36f682" TargetMode="External"/><Relationship Id="rId10" Type="http://schemas.openxmlformats.org/officeDocument/2006/relationships/header" Target="header2.xml"/><Relationship Id="rId19" Type="http://schemas.openxmlformats.org/officeDocument/2006/relationships/hyperlink" Target="https://www.e-tar.lt/portal/legalAct.html?documentId=fac4cec0006f11e588da8908dfa91cac" TargetMode="External"/><Relationship Id="rId31" Type="http://schemas.openxmlformats.org/officeDocument/2006/relationships/hyperlink" Target="https://www.e-tar.lt/portal/legalAct.html?documentId=cfeb06b0d2da11e8bea9885f77677ec1" TargetMode="External"/><Relationship Id="rId44" Type="http://schemas.openxmlformats.org/officeDocument/2006/relationships/hyperlink" Target="https://www.e-tar.lt/portal/legalAct.html?documentId=04da1ca047f911e5a38cd6cdb94b0c5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e-tar.lt/portal/legalAct.html?documentId=fc27b8d074f511e6b969d7ae07280e89" TargetMode="External"/><Relationship Id="rId27" Type="http://schemas.openxmlformats.org/officeDocument/2006/relationships/hyperlink" Target="https://www.e-tar.lt/portal/legalAct.html?documentId=cfeb06b0d2da11e8bea9885f77677ec1" TargetMode="External"/><Relationship Id="rId30" Type="http://schemas.openxmlformats.org/officeDocument/2006/relationships/hyperlink" Target="https://www.e-tar.lt/portal/legalAct.html?documentId=cfeb06b0d2da11e8bea9885f77677ec1" TargetMode="External"/><Relationship Id="rId35" Type="http://schemas.openxmlformats.org/officeDocument/2006/relationships/header" Target="header5.xml"/><Relationship Id="rId43" Type="http://schemas.openxmlformats.org/officeDocument/2006/relationships/hyperlink" Target="https://www.e-tar.lt/portal/legalAct.html?documentId=fac4cec0006f11e588da8908dfa91cac"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25230</Words>
  <Characters>14382</Characters>
  <Application>Microsoft Office Word</Application>
  <DocSecurity>0</DocSecurity>
  <Lines>119</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R.Svediene</cp:lastModifiedBy>
  <cp:revision>2</cp:revision>
  <dcterms:created xsi:type="dcterms:W3CDTF">2019-09-03T07:09:00Z</dcterms:created>
  <dcterms:modified xsi:type="dcterms:W3CDTF">2019-09-03T07:09:00Z</dcterms:modified>
</cp:coreProperties>
</file>